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Issuer 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333-198129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16, 2014</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Term Sheet</w:t>
      </w:r>
    </w:p>
    <w:p>
      <w:pPr>
        <w:spacing w:after="0" w:line="177"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This free writing prospectus relates only to the securities described below and should be read together with the preliminary prospectus dated September 15, 2014, relating to these securities.</w:t>
      </w:r>
    </w:p>
    <w:p>
      <w:pPr>
        <w:sectPr>
          <w:pgSz w:w="11900" w:h="16838" w:orient="portrait"/>
          <w:cols w:equalWidth="0" w:num="1">
            <w:col w:w="11420"/>
          </w:cols>
          <w:pgMar w:left="240" w:top="239" w:right="2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Offering Size: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Proceeds, net of underwriting discounts, commissions and offering expenses:</w:t>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Trade Date: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Settlement Date:</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CUSIP:</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Stabilizing Transactions: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Viper Energy Partners LP (NASDAQ: VNOM)</w:t>
      </w:r>
    </w:p>
    <w:p>
      <w:pPr>
        <w:spacing w:after="0" w:line="77" w:lineRule="exact"/>
        <w:rPr>
          <w:sz w:val="24"/>
          <w:szCs w:val="24"/>
          <w:color w:val="auto"/>
        </w:rPr>
      </w:pPr>
    </w:p>
    <w:p>
      <w:pPr>
        <w:ind w:right="1160"/>
        <w:spacing w:after="0" w:line="328" w:lineRule="auto"/>
        <w:rPr>
          <w:sz w:val="20"/>
          <w:szCs w:val="20"/>
          <w:color w:val="auto"/>
        </w:rPr>
      </w:pPr>
      <w:r>
        <w:rPr>
          <w:rFonts w:ascii="Arial" w:cs="Arial" w:eastAsia="Arial" w:hAnsi="Arial"/>
          <w:sz w:val="18"/>
          <w:szCs w:val="18"/>
          <w:color w:val="auto"/>
        </w:rPr>
        <w:t>3,500,000 common units representing limited partner interests $28.50 per common unit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525,000 additional common units offered by the issuer (30 days)</w:t>
      </w:r>
    </w:p>
    <w:p>
      <w:pPr>
        <w:spacing w:after="0" w:line="77" w:lineRule="exact"/>
        <w:rPr>
          <w:sz w:val="24"/>
          <w:szCs w:val="24"/>
          <w:color w:val="auto"/>
        </w:rPr>
      </w:pPr>
    </w:p>
    <w:p>
      <w:pPr>
        <w:ind w:right="60"/>
        <w:spacing w:after="0" w:line="325" w:lineRule="auto"/>
        <w:rPr>
          <w:sz w:val="20"/>
          <w:szCs w:val="20"/>
          <w:color w:val="auto"/>
        </w:rPr>
      </w:pPr>
      <w:r>
        <w:rPr>
          <w:rFonts w:ascii="Arial" w:cs="Arial" w:eastAsia="Arial" w:hAnsi="Arial"/>
          <w:sz w:val="16"/>
          <w:szCs w:val="16"/>
          <w:color w:val="auto"/>
        </w:rPr>
        <w:t>Approximately $95.4 million, or approximately $109.2 million if the underwriters exercise their option to purchase additional common units in full</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September 16, 2014</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September 19, 2014</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92763M 105</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84" w:lineRule="exact"/>
        <w:rPr>
          <w:sz w:val="24"/>
          <w:szCs w:val="24"/>
          <w:color w:val="auto"/>
        </w:rPr>
      </w:pPr>
    </w:p>
    <w:p>
      <w:pPr>
        <w:ind w:right="340"/>
        <w:spacing w:after="0" w:line="298" w:lineRule="auto"/>
        <w:rPr>
          <w:sz w:val="20"/>
          <w:szCs w:val="20"/>
          <w:color w:val="auto"/>
        </w:rPr>
      </w:pPr>
      <w:r>
        <w:rPr>
          <w:rFonts w:ascii="Arial" w:cs="Arial" w:eastAsia="Arial" w:hAnsi="Arial"/>
          <w:sz w:val="16"/>
          <w:szCs w:val="16"/>
          <w:color w:val="auto"/>
        </w:rPr>
        <w:t>Prior to purchasing the common units being offered pursuant to the preliminary prospectus, on September 15, 2014, one of the underwriters purchased, on behalf of the syndicate, 51,488 common units at an average price of $28.4999 per unit in stabilizing transactions.</w:t>
      </w:r>
    </w:p>
    <w:p>
      <w:pPr>
        <w:spacing w:after="0" w:line="490" w:lineRule="exact"/>
        <w:rPr>
          <w:sz w:val="24"/>
          <w:szCs w:val="24"/>
          <w:color w:val="auto"/>
        </w:rPr>
      </w:pPr>
    </w:p>
    <w:p>
      <w:pPr>
        <w:sectPr>
          <w:pgSz w:w="11900" w:h="16838" w:orient="portrait"/>
          <w:cols w:equalWidth="0" w:num="2">
            <w:col w:w="5740" w:space="140"/>
            <w:col w:w="5540"/>
          </w:cols>
          <w:pgMar w:left="240" w:top="239" w:right="239" w:bottom="1440" w:gutter="0" w:footer="0" w:header="0"/>
          <w:type w:val="continuous"/>
        </w:sectPr>
      </w:pPr>
    </w:p>
    <w:p>
      <w:pPr>
        <w:spacing w:after="0" w:line="289" w:lineRule="auto"/>
        <w:rPr>
          <w:sz w:val="20"/>
          <w:szCs w:val="20"/>
          <w:color w:val="auto"/>
        </w:rPr>
      </w:pPr>
      <w:r>
        <w:rPr>
          <w:rFonts w:ascii="Arial" w:cs="Arial" w:eastAsia="Arial" w:hAnsi="Arial"/>
          <w:sz w:val="16"/>
          <w:szCs w:val="16"/>
          <w:color w:val="auto"/>
        </w:rPr>
        <w:t>Viper Energy Partners LP has filed a registration statement (including a prospectus) on Form S-1 with the Securities and Exchange Commission (SEC) for the offering to which this communication relates. Before you invest, you should read the prospectus in such registration statement and other documents the issuer has filed with the SEC for more complete information about Viper Energy Partners LP and this offering. You may get these documents for free by visiting EDGAR on the SEC Web site at www.sec.gov. Additionally, a written prospectus meeting the requirements of Section 10 of the Securities Act of 1933, as amended, when available, may be obtained from the offices of Barclays Capital Inc., c/o Broadridge Financial Solutions, 1155 Long Island Avenue, Edgewood, NY 11717, telephone: 1-888-603-5847 or email: barclaysprospectus@broadridge.com; Credit Suisse Securities (USA) LLC, Attention: Prospectus Department, Eleven Madison Avenue, Level 1B, New York, NY 10010, telephone: 1-800-221-1037 or email: newyork.prospectus@credit-suisse.com; or Wells Fargo Securities, LLC, Attention: Equity Syndicate Department, 375 Park Avenue, New York, NY 10152, telephone: 800-326-5897 or email: cmclientsupport@wellsfargo.com.</w:t>
      </w:r>
    </w:p>
    <w:sectPr>
      <w:pgSz w:w="11900" w:h="16838" w:orient="portrait"/>
      <w:cols w:equalWidth="0" w:num="1">
        <w:col w:w="11420"/>
      </w:cols>
      <w:pgMar w:left="240" w:top="2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2019-12-08T11:09:51Z</dcterms:created>
  <dcterms:modified xsi:type="dcterms:W3CDTF">2019-12-08T11:09:51Z</dcterms:modified>
</cp:coreProperties>
</file>