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Rubin James L.</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VNOM Sub,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VNOM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500 WEST TEXAS AVENUE</w:t>
            </w:r>
          </w:p>
        </w:tc>
        <w:tc>
          <w:tcPr>
            <w:tcW w:w="13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12,507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include 4,173 restricted stock units, each representing a contingent right to receive one share of Class A common stock, par value $0.000001 per share, of Viper (as defined below). These restricted stock units were granted to the reporting person under the issuer's long term incentive plan and will vest on the earlier of the one-year anniversary of the date of grant, which was May 20, 2025, and the date of the 2026 annual meeting of stockholders of the issuer.</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(the "Sitio Merger Agreement"), dated June 2, 2025, by and among VNOM Sub, Inc. (f/k/a Viper Energy, Inc.) ("Viper"), Sitio Royalties Corp., Sitio Royalties Operating Partnership, LP, a subsidiary of Sitio, Viper Energy, Inc. (f/k/a New Cobra Pubco Inc.), a wholly owned subsidiary of Viper ("New Viper"), Cobra Merger Sub, Inc., a wholly owned subsidiary of New Viper ("Viper Merger Sub") and Scorpion Merger Sub, Inc., a wholly owned subsidiary of New Viper, upon close of the Sitio Merger Agreement Viper Merger Sub will merge with and into Viper, with Viper continuing as the surviving corporation and a wholly owned subsidiary of New Viper (the "Viper Pubco Merger"). At the effective time of the Viper Pubco Merger, each share of Viper's Class A Common Stock then issued and outstanding will be cancelled and automatically converted into one share of New Viper's Class A common stock.</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Teresa L. Dick, as attorney- </w:t>
      </w:r>
      <w:r>
        <w:rPr>
          <w:rFonts w:ascii="Times New Roman" w:cs="Times New Roman" w:eastAsia="Times New Roman" w:hAnsi="Times New Roman"/>
          <w:sz w:val="34"/>
          <w:szCs w:val="34"/>
          <w:color w:val="0000FF"/>
          <w:vertAlign w:val="subscript"/>
        </w:rPr>
        <w:t>08/19/2025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1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James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7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0187" TargetMode="External"/><Relationship Id="rId14" Type="http://schemas.openxmlformats.org/officeDocument/2006/relationships/hyperlink" Target="http://www.sec.gov/cgi-bin/browse-edgar?action=getcompany&amp;CIK=00016020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2025-08-19T17:12:16Z</dcterms:created>
  <dcterms:modified xsi:type="dcterms:W3CDTF">2025-08-19T17:12:16Z</dcterms:modified>
</cp:coreProperties>
</file>