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11, 2024</w:t>
      </w:r>
    </w:p>
    <w:p>
      <w:pPr>
        <w:spacing w:after="0" w:line="14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808080"/>
        </w:rPr>
        <w:t>___________</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00"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80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060" w:type="dxa"/>
            <w:vAlign w:val="bottom"/>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001-36505</w:t>
            </w:r>
          </w:p>
        </w:tc>
        <w:tc>
          <w:tcPr>
            <w:tcW w:w="2560" w:type="dxa"/>
            <w:vAlign w:val="bottom"/>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46-5001985</w:t>
            </w:r>
          </w:p>
        </w:tc>
      </w:tr>
      <w:tr>
        <w:trPr>
          <w:trHeight w:val="401"/>
        </w:trPr>
        <w:tc>
          <w:tcPr>
            <w:tcW w:w="2800" w:type="dxa"/>
            <w:vAlign w:val="bottom"/>
          </w:tcPr>
          <w:p>
            <w:pPr>
              <w:jc w:val="center"/>
              <w:ind w:right="1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060" w:type="dxa"/>
            <w:vAlign w:val="bottom"/>
          </w:tcPr>
          <w:p>
            <w:pPr>
              <w:jc w:val="center"/>
              <w:ind w:left="24"/>
              <w:spacing w:after="0"/>
              <w:rPr>
                <w:sz w:val="20"/>
                <w:szCs w:val="20"/>
                <w:color w:val="auto"/>
              </w:rPr>
            </w:pPr>
            <w:r>
              <w:rPr>
                <w:rFonts w:ascii="Times New Roman" w:cs="Times New Roman" w:eastAsia="Times New Roman" w:hAnsi="Times New Roman"/>
                <w:sz w:val="14"/>
                <w:szCs w:val="14"/>
                <w:color w:val="auto"/>
              </w:rPr>
              <w:t>(Commission File Number)</w:t>
            </w:r>
          </w:p>
        </w:tc>
        <w:tc>
          <w:tcPr>
            <w:tcW w:w="2560" w:type="dxa"/>
            <w:vAlign w:val="bottom"/>
          </w:tcPr>
          <w:p>
            <w:pPr>
              <w:jc w:val="center"/>
              <w:ind w:left="121"/>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449"/>
        </w:trPr>
        <w:tc>
          <w:tcPr>
            <w:tcW w:w="280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0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280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0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8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060" w:type="dxa"/>
            <w:vAlign w:val="bottom"/>
          </w:tcPr>
          <w:p>
            <w:pPr>
              <w:spacing w:after="0"/>
              <w:rPr>
                <w:sz w:val="18"/>
                <w:szCs w:val="18"/>
                <w:color w:val="auto"/>
              </w:rPr>
            </w:pPr>
          </w:p>
        </w:tc>
        <w:tc>
          <w:tcPr>
            <w:tcW w:w="2560" w:type="dxa"/>
            <w:vAlign w:val="bottom"/>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68"/>
        </w:trPr>
        <w:tc>
          <w:tcPr>
            <w:tcW w:w="2800" w:type="dxa"/>
            <w:vAlign w:val="bottom"/>
          </w:tcPr>
          <w:p>
            <w:pPr>
              <w:jc w:val="center"/>
              <w:ind w:right="220"/>
              <w:spacing w:after="0" w:line="168" w:lineRule="exact"/>
              <w:rPr>
                <w:sz w:val="20"/>
                <w:szCs w:val="20"/>
                <w:color w:val="auto"/>
              </w:rPr>
            </w:pPr>
            <w:r>
              <w:rPr>
                <w:rFonts w:ascii="Times New Roman" w:cs="Times New Roman" w:eastAsia="Times New Roman" w:hAnsi="Times New Roman"/>
                <w:sz w:val="16"/>
                <w:szCs w:val="16"/>
                <w:color w:val="auto"/>
              </w:rPr>
              <w:t>(Address of principal</w:t>
            </w:r>
          </w:p>
        </w:tc>
        <w:tc>
          <w:tcPr>
            <w:tcW w:w="2060" w:type="dxa"/>
            <w:vAlign w:val="bottom"/>
          </w:tcPr>
          <w:p>
            <w:pPr>
              <w:spacing w:after="0"/>
              <w:rPr>
                <w:sz w:val="14"/>
                <w:szCs w:val="14"/>
                <w:color w:val="auto"/>
              </w:rPr>
            </w:pPr>
          </w:p>
        </w:tc>
        <w:tc>
          <w:tcPr>
            <w:tcW w:w="2560" w:type="dxa"/>
            <w:vAlign w:val="bottom"/>
          </w:tcPr>
          <w:p>
            <w:pPr>
              <w:jc w:val="center"/>
              <w:ind w:left="121"/>
              <w:spacing w:after="0" w:line="168" w:lineRule="exact"/>
              <w:rPr>
                <w:sz w:val="20"/>
                <w:szCs w:val="20"/>
                <w:color w:val="auto"/>
              </w:rPr>
            </w:pPr>
            <w:r>
              <w:rPr>
                <w:rFonts w:ascii="Times New Roman" w:cs="Times New Roman" w:eastAsia="Times New Roman" w:hAnsi="Times New Roman"/>
                <w:sz w:val="16"/>
                <w:szCs w:val="16"/>
                <w:color w:val="auto"/>
              </w:rPr>
              <w:t>(Zip code)</w:t>
            </w:r>
          </w:p>
        </w:tc>
      </w:tr>
      <w:tr>
        <w:trPr>
          <w:trHeight w:val="210"/>
        </w:trPr>
        <w:tc>
          <w:tcPr>
            <w:tcW w:w="28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executive offices)</w:t>
            </w:r>
          </w:p>
        </w:tc>
        <w:tc>
          <w:tcPr>
            <w:tcW w:w="206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(432) 221-7400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Check the appropriate box below if the Form 8-K is intended to simultaneously satisfy the filing obligation of the Registrant under any of the following provisions:</w:t>
      </w:r>
    </w:p>
    <w:p>
      <w:pPr>
        <w:spacing w:after="0" w:line="271"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240"/>
          </w:cols>
          <w:pgMar w:left="320" w:top="1312" w:right="339" w:bottom="1440" w:gutter="0" w:footer="0" w:header="0"/>
        </w:sectPr>
      </w:pPr>
    </w:p>
    <w:p>
      <w:pPr>
        <w:spacing w:after="0" w:line="13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20" w:space="720"/>
            <w:col w:w="1880" w:space="720"/>
            <w:col w:w="3500"/>
          </w:cols>
          <w:pgMar w:left="320" w:top="1312" w:right="339" w:bottom="1440" w:gutter="0" w:footer="0" w:header="0"/>
          <w:type w:val="continuous"/>
        </w:sectPr>
      </w:pPr>
    </w:p>
    <w:p>
      <w:pPr>
        <w:ind w:left="5480" w:right="1180" w:hanging="7180"/>
        <w:spacing w:after="0" w:line="291" w:lineRule="auto"/>
        <w:tabs>
          <w:tab w:leader="none" w:pos="5460" w:val="left"/>
        </w:tabs>
        <w:rPr>
          <w:sz w:val="20"/>
          <w:szCs w:val="20"/>
          <w:color w:val="auto"/>
        </w:rPr>
      </w:pPr>
      <w:r>
        <w:rPr>
          <w:rFonts w:ascii="Times New Roman" w:cs="Times New Roman" w:eastAsia="Times New Roman" w:hAnsi="Times New Roman"/>
          <w:sz w:val="14"/>
          <w:szCs w:val="14"/>
          <w:color w:val="auto"/>
        </w:rPr>
        <w:t>Class A Common Stock, $0.000001 Par Value</w:t>
      </w:r>
      <w:r>
        <w:rPr>
          <w:sz w:val="20"/>
          <w:szCs w:val="20"/>
          <w:color w:val="auto"/>
        </w:rPr>
        <w:tab/>
      </w:r>
      <w:r>
        <w:rPr>
          <w:rFonts w:ascii="Times New Roman" w:cs="Times New Roman" w:eastAsia="Times New Roman" w:hAnsi="Times New Roman"/>
          <w:sz w:val="14"/>
          <w:szCs w:val="14"/>
          <w:color w:val="auto"/>
        </w:rPr>
        <w:t>VNOM The Nasdaq Stock Market LLC (NASDAQ Global Select Market)</w:t>
      </w:r>
    </w:p>
    <w:p>
      <w:pPr>
        <w:sectPr>
          <w:pgSz w:w="11900" w:h="16838" w:orient="portrait"/>
          <w:cols w:equalWidth="0" w:num="1">
            <w:col w:w="11240"/>
          </w:cols>
          <w:pgMar w:left="320" w:top="1312" w:right="339" w:bottom="1440"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111760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 for the Equity Offering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11, 2024, Viper Energy, Inc. (“Viper”) entered into an Underwriting Agreement (the “Underwriting Agreement”) with Goldman Sachs &amp; Co. LLC, as representative of the several underwriters named therein (the “Underwriters”). The Underwriting Agreement relates to a public offering (the “Offering”) by Viper of an aggregate of (i) 10,000,000 shares of Viper’s Class A common stock, par value $0.000001 per share (“Class A Common Stock”), and (ii) up to 1,500,000 shares of Class A Common Stock available for purchase by the Underwriters upon exercise of the Underwriters’ option to purchase additional shares of Class A Common Stock (the “Option”) from Viper at the public offering price of $42.50 per share, less underwriting discounts and commissions. On September 12, 2024, the Underwriters exercised the Option in full.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proceeds to Viper from the sale of the 11,500,000 shares of its Class A Common Stock, after the underwriting discount and estimated offering expenses, was approximately $475.9 million. Viper intends to use the net proceeds from the Offering, together with cash on hand and borrowings under Viper Energy Partners LLC’s revolving credit facility, to fund a portion of the cash consideration for its previously announced pending acquisition of certain mineral and royalty-interest owning subsidiaries of Tumbleweed Royalty IV, LLC. The Offering closed on September 13,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of Viper and other customary obligations of the parties and termination provisions. Viper has agreed to indemnify the Underwriters against certain liabilities under the Securities Act of 1933, as amended (the “Securities Act”), or to contribute to payments the Underwriters may be required to make because of any such liabilities. Under the Underwriting Agreement, Viper has also agreed, subject to certain exceptions, that it will not, among other things, offer, sell, pledge, lend or otherwise dispose of any shares of Class A Common Stock or securities convertible into or exchangeable or exercisable for any shares of Class A Common Stock, or publicly disclose the intention to make any such offer, sale, pledge or disposition or file with the SEC a registration statement under the Securities Act relating thereto, without the prior written consent of Goldman Sachs &amp; Co. LLC, for a period of 45 days from the date of the Underwriting Agreement.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was made pursuant to Viper’s effective automatic shelf registration statement on Form S-3 (File No. 333-282039), filed with the Securities and Exchange Commission (the “SEC”) on September 11, 2024 (the “Shelf Registration Statement”), and a prospectus, which consists of a base prospectus, filed with the SEC on September 11, 2024, a preliminary prospectus supplement, filed with the SEC on September 11, 2024, and a final prospectus supplement, filed with the SEC on September 13,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Viper and its affiliates and may provide from time to time in the future certain commercial banking, financial advisory, investment banking and other services for Viper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Viper’s debt or equity securities or loans, and may do so in the future. The Underwriters and certain of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preceding summary of the Underwriting Agreement is qualified in its entirety by reference to the full text of such agreement, a copy of which is attached as Exhibit 1.1 hereto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11, 2024, Viper issued a press release announcing the pricing of the Offering. A copy of such press release is attached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Viper is filing a legal opinion of Akin Gump Strauss Hauer &amp; Feld LLP regarding the legality of the Class A Common Stock issued in the Offering, attached as Exhibit 5.1 to this Current Report on Form 8-K, to incorporate such opinion by reference into the Shelf Registration Statement.</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83"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10628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41" w:lineRule="exact"/>
        <w:rPr>
          <w:sz w:val="20"/>
          <w:szCs w:val="20"/>
          <w:color w:val="auto"/>
        </w:rPr>
      </w:pPr>
    </w:p>
    <w:p>
      <w:pPr>
        <w:ind w:left="1200" w:right="40" w:hanging="809"/>
        <w:spacing w:after="0" w:line="237" w:lineRule="auto"/>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FF"/>
        </w:rPr>
        <w:t>Underwriting Agreement, dated September 11, 2024, by and among Viper Energy, Inc. and Goldman Sachs &amp; Co. LLC, as representative for the several underwriters.</w:t>
      </w:r>
    </w:p>
    <w:p>
      <w:pPr>
        <w:spacing w:after="0" w:line="10"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Akin Gump Strauss Hauer &amp; Feld LLP regarding the legality of the Class A Common Stock issued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September 11, 2024 entitled “Viper Energy Announces Pricing of Upsized Class A Common Stock Offering.”</w:t>
      </w:r>
    </w:p>
    <w:p>
      <w:pPr>
        <w:spacing w:after="0" w:line="23" w:lineRule="exact"/>
        <w:rPr>
          <w:sz w:val="20"/>
          <w:szCs w:val="20"/>
          <w:color w:val="auto"/>
        </w:rPr>
      </w:pPr>
    </w:p>
    <w:p>
      <w:pPr>
        <w:ind w:left="1200" w:hanging="780"/>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2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20" w:type="dxa"/>
            <w:vAlign w:val="bottom"/>
            <w:gridSpan w:val="2"/>
          </w:tcPr>
          <w:p>
            <w:pPr>
              <w:ind w:left="626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4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13, 2024</w:t>
            </w:r>
          </w:p>
        </w:tc>
        <w:tc>
          <w:tcPr>
            <w:tcW w:w="4260" w:type="dxa"/>
            <w:vAlign w:val="bottom"/>
          </w:tcPr>
          <w:p>
            <w:pPr>
              <w:spacing w:after="0"/>
              <w:rPr>
                <w:sz w:val="24"/>
                <w:szCs w:val="24"/>
                <w:color w:val="auto"/>
              </w:rPr>
            </w:pPr>
          </w:p>
        </w:tc>
      </w:tr>
      <w:tr>
        <w:trPr>
          <w:trHeight w:val="445"/>
        </w:trPr>
        <w:tc>
          <w:tcPr>
            <w:tcW w:w="6960" w:type="dxa"/>
            <w:vAlign w:val="bottom"/>
          </w:tcPr>
          <w:p>
            <w:pPr>
              <w:ind w:left="626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6960" w:type="dxa"/>
            <w:vAlign w:val="bottom"/>
          </w:tcPr>
          <w:p>
            <w:pPr>
              <w:ind w:left="626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0"/>
        </w:trPr>
        <w:tc>
          <w:tcPr>
            <w:tcW w:w="6960" w:type="dxa"/>
            <w:vAlign w:val="bottom"/>
          </w:tcPr>
          <w:p>
            <w:pPr>
              <w:ind w:left="626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Executive Vice President and</w:t>
            </w:r>
          </w:p>
        </w:tc>
      </w:tr>
      <w:tr>
        <w:trPr>
          <w:trHeight w:val="234"/>
        </w:trPr>
        <w:tc>
          <w:tcPr>
            <w:tcW w:w="696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VIPER ENERGY,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10,000,000 Shares of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UNDERWRITING AGREEMENT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September 11,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 representative of the Several Underwriters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named in Schedule I hereto,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Goldman Sachs &amp; Co.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West Street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10282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Viper Energy,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proposes, subject to the terms and conditions stated in this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to issue and sell to the underwriters named in Schedule I hereto (the “</w:t>
      </w:r>
      <w:r>
        <w:rPr>
          <w:rFonts w:ascii="Times New Roman" w:cs="Times New Roman" w:eastAsia="Times New Roman" w:hAnsi="Times New Roman"/>
          <w:sz w:val="22"/>
          <w:szCs w:val="22"/>
          <w:b w:val="1"/>
          <w:bCs w:val="1"/>
          <w:i w:val="1"/>
          <w:iCs w:val="1"/>
          <w:color w:val="auto"/>
        </w:rPr>
        <w:t>Underwriters</w:t>
      </w:r>
      <w:r>
        <w:rPr>
          <w:rFonts w:ascii="Times New Roman" w:cs="Times New Roman" w:eastAsia="Times New Roman" w:hAnsi="Times New Roman"/>
          <w:sz w:val="22"/>
          <w:szCs w:val="22"/>
          <w:color w:val="auto"/>
        </w:rPr>
        <w:t>”) for whom you are acting as representative (the “</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an aggregate of 10,000,000 shares (the “</w:t>
      </w:r>
      <w:r>
        <w:rPr>
          <w:rFonts w:ascii="Times New Roman" w:cs="Times New Roman" w:eastAsia="Times New Roman" w:hAnsi="Times New Roman"/>
          <w:sz w:val="22"/>
          <w:szCs w:val="22"/>
          <w:b w:val="1"/>
          <w:bCs w:val="1"/>
          <w:i w:val="1"/>
          <w:iCs w:val="1"/>
          <w:color w:val="auto"/>
        </w:rPr>
        <w:t>Firm Stock</w:t>
      </w:r>
      <w:r>
        <w:rPr>
          <w:rFonts w:ascii="Times New Roman" w:cs="Times New Roman" w:eastAsia="Times New Roman" w:hAnsi="Times New Roman"/>
          <w:sz w:val="22"/>
          <w:szCs w:val="22"/>
          <w:color w:val="auto"/>
        </w:rPr>
        <w:t>”) and, at the election of the Underwriters, up to 1,500,000 additional shares (the “</w:t>
      </w:r>
      <w:r>
        <w:rPr>
          <w:rFonts w:ascii="Times New Roman" w:cs="Times New Roman" w:eastAsia="Times New Roman" w:hAnsi="Times New Roman"/>
          <w:sz w:val="22"/>
          <w:szCs w:val="22"/>
          <w:b w:val="1"/>
          <w:bCs w:val="1"/>
          <w:i w:val="1"/>
          <w:iCs w:val="1"/>
          <w:color w:val="auto"/>
        </w:rPr>
        <w:t>Option Stock</w:t>
      </w:r>
      <w:r>
        <w:rPr>
          <w:rFonts w:ascii="Times New Roman" w:cs="Times New Roman" w:eastAsia="Times New Roman" w:hAnsi="Times New Roman"/>
          <w:sz w:val="22"/>
          <w:szCs w:val="22"/>
          <w:color w:val="auto"/>
        </w:rPr>
        <w:t>”) of Class A common stock, par value $0.000001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of the Company (the Firm Stock and the Option Stock that the Underwriters elect to purchase pursuant to Section 2 hereof being collectively called the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Stock is being issued and sold in connection with the announcement of the proposed acquisition by Viper Energy Partners LLC, a Delaware limited liability company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of all of the outstanding interests in Tumbleweed Royalty IV, LLC (“</w:t>
      </w:r>
      <w:r>
        <w:rPr>
          <w:rFonts w:ascii="Times New Roman" w:cs="Times New Roman" w:eastAsia="Times New Roman" w:hAnsi="Times New Roman"/>
          <w:sz w:val="22"/>
          <w:szCs w:val="22"/>
          <w:b w:val="1"/>
          <w:bCs w:val="1"/>
          <w:i w:val="1"/>
          <w:iCs w:val="1"/>
          <w:color w:val="auto"/>
        </w:rPr>
        <w:t>TWR IV</w:t>
      </w:r>
      <w:r>
        <w:rPr>
          <w:rFonts w:ascii="Times New Roman" w:cs="Times New Roman" w:eastAsia="Times New Roman" w:hAnsi="Times New Roman"/>
          <w:sz w:val="22"/>
          <w:szCs w:val="22"/>
          <w:color w:val="auto"/>
        </w:rPr>
        <w:t>”) and TWR IV SellCo, LLC (“</w:t>
      </w:r>
      <w:r>
        <w:rPr>
          <w:rFonts w:ascii="Times New Roman" w:cs="Times New Roman" w:eastAsia="Times New Roman" w:hAnsi="Times New Roman"/>
          <w:sz w:val="22"/>
          <w:szCs w:val="22"/>
          <w:b w:val="1"/>
          <w:bCs w:val="1"/>
          <w:i w:val="1"/>
          <w:iCs w:val="1"/>
          <w:color w:val="auto"/>
        </w:rPr>
        <w:t>TWR IV SellCo</w:t>
      </w:r>
      <w:r>
        <w:rPr>
          <w:rFonts w:ascii="Times New Roman" w:cs="Times New Roman" w:eastAsia="Times New Roman" w:hAnsi="Times New Roman"/>
          <w:sz w:val="22"/>
          <w:szCs w:val="22"/>
          <w:color w:val="auto"/>
        </w:rPr>
        <w:t>”) pursuant to that certain Purchase and Sale Agreement, dated September 11, 2024 (the “</w:t>
      </w:r>
      <w:r>
        <w:rPr>
          <w:rFonts w:ascii="Times New Roman" w:cs="Times New Roman" w:eastAsia="Times New Roman" w:hAnsi="Times New Roman"/>
          <w:sz w:val="22"/>
          <w:szCs w:val="22"/>
          <w:b w:val="1"/>
          <w:bCs w:val="1"/>
          <w:i w:val="1"/>
          <w:iCs w:val="1"/>
          <w:color w:val="auto"/>
        </w:rPr>
        <w:t>Acquisition Agreement</w:t>
      </w:r>
      <w:r>
        <w:rPr>
          <w:rFonts w:ascii="Times New Roman" w:cs="Times New Roman" w:eastAsia="Times New Roman" w:hAnsi="Times New Roman"/>
          <w:sz w:val="22"/>
          <w:szCs w:val="22"/>
          <w:color w:val="auto"/>
        </w:rPr>
        <w:t>”), by and among the Company, OpCo, TWR IV and TWR IV SellCo Parent, LLC (such transaction, the “</w:t>
      </w:r>
      <w:r>
        <w:rPr>
          <w:rFonts w:ascii="Times New Roman" w:cs="Times New Roman" w:eastAsia="Times New Roman" w:hAnsi="Times New Roman"/>
          <w:sz w:val="22"/>
          <w:szCs w:val="22"/>
          <w:b w:val="1"/>
          <w:bCs w:val="1"/>
          <w:i w:val="1"/>
          <w:iCs w:val="1"/>
          <w:color w:val="auto"/>
        </w:rPr>
        <w:t>Tumbleweed Acquisition</w:t>
      </w:r>
      <w:r>
        <w:rPr>
          <w:rFonts w:ascii="Times New Roman" w:cs="Times New Roman" w:eastAsia="Times New Roman" w:hAnsi="Times New Roman"/>
          <w:sz w:val="22"/>
          <w:szCs w:val="22"/>
          <w:color w:val="auto"/>
        </w:rPr>
        <w:t>”). On September 3, 2024, OpCo closed the acquisition of all of the outstanding interests in MC TWR Royalties, LP, MC TWR Intermediate, LLC and Tumbleweed-Q Royalties, LLC (collectively with TWR IV and TWR IV SellCo, “</w:t>
      </w:r>
      <w:r>
        <w:rPr>
          <w:rFonts w:ascii="Times New Roman" w:cs="Times New Roman" w:eastAsia="Times New Roman" w:hAnsi="Times New Roman"/>
          <w:sz w:val="22"/>
          <w:szCs w:val="22"/>
          <w:b w:val="1"/>
          <w:bCs w:val="1"/>
          <w:i w:val="1"/>
          <w:iCs w:val="1"/>
          <w:color w:val="auto"/>
        </w:rPr>
        <w:t>Tumbleweed</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Reference is made herein to the Company’s acquisition of certain assets (the “</w:t>
      </w:r>
      <w:r>
        <w:rPr>
          <w:rFonts w:ascii="Times New Roman" w:cs="Times New Roman" w:eastAsia="Times New Roman" w:hAnsi="Times New Roman"/>
          <w:sz w:val="22"/>
          <w:szCs w:val="22"/>
          <w:b w:val="1"/>
          <w:bCs w:val="1"/>
          <w:i w:val="1"/>
          <w:iCs w:val="1"/>
          <w:color w:val="auto"/>
        </w:rPr>
        <w:t>GRP Assets</w:t>
      </w:r>
      <w:r>
        <w:rPr>
          <w:rFonts w:ascii="Times New Roman" w:cs="Times New Roman" w:eastAsia="Times New Roman" w:hAnsi="Times New Roman"/>
          <w:sz w:val="22"/>
          <w:szCs w:val="22"/>
          <w:color w:val="auto"/>
        </w:rPr>
        <w:t>”) pursuant to that certain Purchase and Sale Agreement, dated September 4, 2023, by and among Royalty Asset Holdings, LP, Royalty Asset Holdings II, LP, Saxum Asset Holdings, LP (collectively, the “</w:t>
      </w:r>
      <w:r>
        <w:rPr>
          <w:rFonts w:ascii="Times New Roman" w:cs="Times New Roman" w:eastAsia="Times New Roman" w:hAnsi="Times New Roman"/>
          <w:sz w:val="22"/>
          <w:szCs w:val="22"/>
          <w:b w:val="1"/>
          <w:bCs w:val="1"/>
          <w:i w:val="1"/>
          <w:iCs w:val="1"/>
          <w:color w:val="auto"/>
        </w:rPr>
        <w:t>GRP Sellers</w:t>
      </w:r>
      <w:r>
        <w:rPr>
          <w:rFonts w:ascii="Times New Roman" w:cs="Times New Roman" w:eastAsia="Times New Roman" w:hAnsi="Times New Roman"/>
          <w:sz w:val="22"/>
          <w:szCs w:val="22"/>
          <w:color w:val="auto"/>
        </w:rPr>
        <w:t>,” and affiliates of Warwick Capital Partners and GRP Energy Capital), the Company and OpCo. Any reference to the Company herein shall be deemed to also, where applicable, refer to Viper Energy Partners LP, the Company’s predecessor, for all periods prior to November 13, 2023.</w:t>
      </w:r>
    </w:p>
    <w:p>
      <w:pPr>
        <w:spacing w:after="0" w:line="182" w:lineRule="exact"/>
        <w:rPr>
          <w:sz w:val="20"/>
          <w:szCs w:val="20"/>
          <w:color w:val="auto"/>
        </w:rPr>
      </w:pPr>
    </w:p>
    <w:p>
      <w:pPr>
        <w:ind w:left="1960" w:hanging="656"/>
        <w:spacing w:after="0"/>
        <w:tabs>
          <w:tab w:leader="none" w:pos="1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5" w:name="page6"/>
    <w:bookmarkEnd w:id="5"/>
    <w:p>
      <w:pPr>
        <w:ind w:left="920" w:hanging="264"/>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Warranties and Agreements of the Company</w:t>
      </w:r>
      <w:r>
        <w:rPr>
          <w:rFonts w:ascii="Times New Roman" w:cs="Times New Roman" w:eastAsia="Times New Roman" w:hAnsi="Times New Roman"/>
          <w:sz w:val="22"/>
          <w:szCs w:val="22"/>
          <w:color w:val="auto"/>
        </w:rPr>
        <w:t>. The Company represents, warrants and agrees that:</w:t>
      </w:r>
    </w:p>
    <w:p>
      <w:pPr>
        <w:spacing w:after="0" w:line="22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0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registration statement on Form S-3 (File No. 333-282039), including a related prospectus or prospectuses, relating to the Stock has (i) been prepared by the Company in conformity with the requirements of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 the rules and regulations of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thereunder; (ii) been filed with the Commission under the Securities Act; and (iii) become effective under the Securities Act. Copies of such registration statement and any amendment thereto have been delivered by the Company to you as the Representative of the Underwriters. As used in this Agreement:</w:t>
      </w:r>
    </w:p>
    <w:p>
      <w:pPr>
        <w:spacing w:after="0" w:line="175"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3"/>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Time</w:t>
      </w:r>
      <w:r>
        <w:rPr>
          <w:rFonts w:ascii="Times New Roman" w:cs="Times New Roman" w:eastAsia="Times New Roman" w:hAnsi="Times New Roman"/>
          <w:sz w:val="22"/>
          <w:szCs w:val="22"/>
          <w:color w:val="auto"/>
        </w:rPr>
        <w:t>” means 6:40 p.m. (New York City time) on September 11, 2024;</w:t>
      </w:r>
    </w:p>
    <w:p>
      <w:pPr>
        <w:spacing w:after="0" w:line="233" w:lineRule="exact"/>
        <w:rPr>
          <w:rFonts w:ascii="Times New Roman" w:cs="Times New Roman" w:eastAsia="Times New Roman" w:hAnsi="Times New Roman"/>
          <w:sz w:val="22"/>
          <w:szCs w:val="22"/>
          <w:color w:val="auto"/>
        </w:rPr>
      </w:pPr>
    </w:p>
    <w:p>
      <w:pPr>
        <w:ind w:left="1300" w:right="20" w:firstLine="227"/>
        <w:spacing w:after="0" w:line="276" w:lineRule="auto"/>
        <w:tabs>
          <w:tab w:leader="none" w:pos="2009"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the date and time as of which such registration statement, or the most recent post-effective amendment thereto, if any, became effective by the Commission;</w:t>
      </w:r>
    </w:p>
    <w:p>
      <w:pPr>
        <w:spacing w:after="0" w:line="147" w:lineRule="exact"/>
        <w:rPr>
          <w:rFonts w:ascii="Times New Roman" w:cs="Times New Roman" w:eastAsia="Times New Roman" w:hAnsi="Times New Roman"/>
          <w:sz w:val="22"/>
          <w:szCs w:val="22"/>
          <w:color w:val="auto"/>
        </w:rPr>
      </w:pPr>
    </w:p>
    <w:p>
      <w:pPr>
        <w:ind w:left="1300" w:right="20" w:firstLine="652"/>
        <w:spacing w:after="0" w:line="276" w:lineRule="auto"/>
        <w:tabs>
          <w:tab w:leader="none" w:pos="2542"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Issuer Free Writing Prospectus</w:t>
      </w:r>
      <w:r>
        <w:rPr>
          <w:rFonts w:ascii="Times New Roman" w:cs="Times New Roman" w:eastAsia="Times New Roman" w:hAnsi="Times New Roman"/>
          <w:sz w:val="22"/>
          <w:szCs w:val="22"/>
          <w:color w:val="auto"/>
        </w:rPr>
        <w:t>” means each “issuer free writing prospectus” (as defined in Rule 433 under the Securities Act);</w:t>
      </w:r>
    </w:p>
    <w:p>
      <w:pPr>
        <w:spacing w:after="0" w:line="147" w:lineRule="exact"/>
        <w:rPr>
          <w:rFonts w:ascii="Times New Roman" w:cs="Times New Roman" w:eastAsia="Times New Roman" w:hAnsi="Times New Roman"/>
          <w:sz w:val="22"/>
          <w:szCs w:val="22"/>
          <w:color w:val="auto"/>
        </w:rPr>
      </w:pPr>
    </w:p>
    <w:p>
      <w:pPr>
        <w:jc w:val="both"/>
        <w:ind w:left="1300" w:firstLine="652"/>
        <w:spacing w:after="0" w:line="266" w:lineRule="auto"/>
        <w:tabs>
          <w:tab w:leader="none" w:pos="2503"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Preliminary Prospectus</w:t>
      </w:r>
      <w:r>
        <w:rPr>
          <w:rFonts w:ascii="Times New Roman" w:cs="Times New Roman" w:eastAsia="Times New Roman" w:hAnsi="Times New Roman"/>
          <w:sz w:val="22"/>
          <w:szCs w:val="22"/>
          <w:color w:val="auto"/>
        </w:rPr>
        <w:t>” means any preliminary prospectus (including any preliminary prospectus supplement) relating to the Stock included in such registration statement or filed with the Commission pursuant to Rule 424(b) under the Securities Act;</w:t>
      </w:r>
    </w:p>
    <w:p>
      <w:pPr>
        <w:spacing w:after="0" w:line="157" w:lineRule="exact"/>
        <w:rPr>
          <w:rFonts w:ascii="Times New Roman" w:cs="Times New Roman" w:eastAsia="Times New Roman" w:hAnsi="Times New Roman"/>
          <w:sz w:val="22"/>
          <w:szCs w:val="22"/>
          <w:color w:val="auto"/>
        </w:rPr>
      </w:pPr>
    </w:p>
    <w:p>
      <w:pPr>
        <w:ind w:left="1300" w:firstLine="652"/>
        <w:spacing w:after="0" w:line="276" w:lineRule="auto"/>
        <w:tabs>
          <w:tab w:leader="none" w:pos="2591"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Pricing Disclosure Package</w:t>
      </w:r>
      <w:r>
        <w:rPr>
          <w:rFonts w:ascii="Times New Roman" w:cs="Times New Roman" w:eastAsia="Times New Roman" w:hAnsi="Times New Roman"/>
          <w:sz w:val="22"/>
          <w:szCs w:val="22"/>
          <w:color w:val="auto"/>
        </w:rPr>
        <w:t>” means, as of the Applicable Time, the most recent Preliminary Prospectus, together with the information included in Schedule II hereto;</w:t>
      </w:r>
    </w:p>
    <w:p>
      <w:pPr>
        <w:spacing w:after="0" w:line="147" w:lineRule="exact"/>
        <w:rPr>
          <w:rFonts w:ascii="Times New Roman" w:cs="Times New Roman" w:eastAsia="Times New Roman" w:hAnsi="Times New Roman"/>
          <w:sz w:val="22"/>
          <w:szCs w:val="22"/>
          <w:color w:val="auto"/>
        </w:rPr>
      </w:pPr>
    </w:p>
    <w:p>
      <w:pPr>
        <w:ind w:left="1300" w:firstLine="652"/>
        <w:spacing w:after="0" w:line="276" w:lineRule="auto"/>
        <w:tabs>
          <w:tab w:leader="none" w:pos="2624"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means the final prospectus (including any prospectus supplement) relating to the Stock, as filed with the Commission pursuant to Rule 424(b) under the Securities Act;</w:t>
      </w:r>
    </w:p>
    <w:p>
      <w:pPr>
        <w:spacing w:after="0" w:line="160" w:lineRule="exact"/>
        <w:rPr>
          <w:rFonts w:ascii="Times New Roman" w:cs="Times New Roman" w:eastAsia="Times New Roman" w:hAnsi="Times New Roman"/>
          <w:sz w:val="22"/>
          <w:szCs w:val="22"/>
          <w:color w:val="auto"/>
        </w:rPr>
      </w:pPr>
    </w:p>
    <w:p>
      <w:pPr>
        <w:jc w:val="both"/>
        <w:ind w:left="1300" w:firstLine="652"/>
        <w:spacing w:after="0" w:line="254" w:lineRule="auto"/>
        <w:tabs>
          <w:tab w:leader="none" w:pos="2536"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 Delivery Period</w:t>
      </w:r>
      <w:r>
        <w:rPr>
          <w:rFonts w:ascii="Times New Roman" w:cs="Times New Roman" w:eastAsia="Times New Roman" w:hAnsi="Times New Roman"/>
          <w:sz w:val="22"/>
          <w:szCs w:val="22"/>
          <w:color w:val="auto"/>
        </w:rPr>
        <w:t>” means such period of time after the first date of the public offering of the Stock as in the opinion of counsel for the Underwriters a prospectus relating to the Stock is required by law to be delivered (or required to be delivered but for Rule 172 under the Securities Act) in connection with sales of the Stock by any Underwriter or dealer;</w:t>
      </w:r>
    </w:p>
    <w:p>
      <w:pPr>
        <w:spacing w:after="0" w:line="171"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636"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means such registration statement, as amended as of the Effective Date, including any Preliminary Prospectus or the Prospectus, all exhibits to such registration statement and including the information deemed by virtue of Rule 430B under the Securities Act to be part of such registration statement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6" w:name="page7"/>
    <w:bookmarkEnd w:id="6"/>
    <w:p>
      <w:pPr>
        <w:ind w:left="1300" w:right="20" w:firstLine="652"/>
        <w:spacing w:after="0" w:line="276" w:lineRule="auto"/>
        <w:tabs>
          <w:tab w:leader="none" w:pos="262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Testing-the-Waters Communication</w:t>
      </w:r>
      <w:r>
        <w:rPr>
          <w:rFonts w:ascii="Times New Roman" w:cs="Times New Roman" w:eastAsia="Times New Roman" w:hAnsi="Times New Roman"/>
          <w:sz w:val="22"/>
          <w:szCs w:val="22"/>
          <w:color w:val="auto"/>
        </w:rPr>
        <w:t>” means any oral or written communication with potential investors undertaken in reliance on Rule 163B under the Securities Act.</w:t>
      </w:r>
    </w:p>
    <w:p>
      <w:pPr>
        <w:spacing w:after="0" w:line="15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Any reference to any Preliminary Prospectus or the Prospectus shall be deemed to refer to and include any documents incorporated by reference therein pursuant to Form S-3 under the Securities Act, which were filed under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as of the date of such Preliminary Prospectus or the Prospectus, as the case may be. Any reference to the “</w:t>
      </w:r>
      <w:r>
        <w:rPr>
          <w:rFonts w:ascii="Times New Roman" w:cs="Times New Roman" w:eastAsia="Times New Roman" w:hAnsi="Times New Roman"/>
          <w:sz w:val="21"/>
          <w:szCs w:val="21"/>
          <w:b w:val="1"/>
          <w:bCs w:val="1"/>
          <w:i w:val="1"/>
          <w:iCs w:val="1"/>
          <w:color w:val="auto"/>
        </w:rPr>
        <w:t>most recent Preliminary Prospectus</w:t>
      </w:r>
      <w:r>
        <w:rPr>
          <w:rFonts w:ascii="Times New Roman" w:cs="Times New Roman" w:eastAsia="Times New Roman" w:hAnsi="Times New Roman"/>
          <w:sz w:val="21"/>
          <w:szCs w:val="21"/>
          <w:color w:val="auto"/>
        </w:rPr>
        <w:t>”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Exchange Act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Any reference herein to the term “Registration Statement” shall be deemed to include any abbreviated registration statement to register additional Common Stock under Rule 462(b) under the Securities Act (the “</w:t>
      </w:r>
      <w:r>
        <w:rPr>
          <w:rFonts w:ascii="Times New Roman" w:cs="Times New Roman" w:eastAsia="Times New Roman" w:hAnsi="Times New Roman"/>
          <w:sz w:val="21"/>
          <w:szCs w:val="21"/>
          <w:b w:val="1"/>
          <w:bCs w:val="1"/>
          <w:i w:val="1"/>
          <w:iCs w:val="1"/>
          <w:color w:val="auto"/>
        </w:rPr>
        <w:t>Rule 462(b) Registration Statement</w:t>
      </w:r>
      <w:r>
        <w:rPr>
          <w:rFonts w:ascii="Times New Roman" w:cs="Times New Roman" w:eastAsia="Times New Roman" w:hAnsi="Times New Roman"/>
          <w:sz w:val="21"/>
          <w:szCs w:val="21"/>
          <w:color w:val="auto"/>
        </w:rPr>
        <w:t>”). The Commission has not issued any order preventing or suspending the use of any Preliminary Prospectus or the Prospectus or suspending the effectiveness of the Registration Statement, and no proceeding or examination for such purpose, or pursuant to any Section 8A proceedings under the Securities Act, has been instituted or threatened by the Commission. The Commission has not notified the Company of any objection to the use of the form of the Registration Statement or any post-effective amendment thereto.</w:t>
      </w:r>
    </w:p>
    <w:p>
      <w:pPr>
        <w:spacing w:after="0" w:line="200" w:lineRule="exact"/>
        <w:rPr>
          <w:sz w:val="20"/>
          <w:szCs w:val="20"/>
          <w:color w:val="auto"/>
        </w:rPr>
      </w:pPr>
    </w:p>
    <w:p>
      <w:pPr>
        <w:jc w:val="both"/>
        <w:ind w:firstLine="1304"/>
        <w:spacing w:after="0" w:line="261" w:lineRule="auto"/>
        <w:tabs>
          <w:tab w:leader="none" w:pos="165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Company was at the time of filing the Registration Statement, at the time of the most recent amendment thereto for the purposes of complying with Section 10(a)(3) of the Securities Act (whether such amendment was by post-effective amendment, incorporated report filed pursuant to Section 13 or 15(d) of the Exchange Act or form of prospectus), and at the time the Company or any person acting on its behalf (within the meaning, for this clause only, of Rule 163(c) under the Securities Act) made any offer relating to the Stock in reliance on the exemption of Rule 163 under the Act, a “well-known seasoned issuer” as defined in Rule 405 under the Securities Act; and (ii) the Company was not at the time of initial filing of the Registration Statement and at the earliest time thereafter that the Company or another offering participant made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offer (within the meaning of Rule 164(h)(2) under the Securities Act) of the Stock, is not on the date hereof and will not be on each Delivery Date (as defined below), an “ineligible issuer” (as defined in Rule 405 under the Securities Act).</w:t>
      </w:r>
    </w:p>
    <w:p>
      <w:pPr>
        <w:spacing w:after="0" w:line="174"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5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conformed and will conform in all material respects on the Effective Date and on each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6"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22"/>
          <w:szCs w:val="22"/>
          <w:color w:val="auto"/>
        </w:rPr>
        <w:t>respects when filed with the Commission pursuant to Rule 424(b) under the Securities Act and on each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79" w:lineRule="exact"/>
        <w:rPr>
          <w:sz w:val="20"/>
          <w:szCs w:val="20"/>
          <w:color w:val="auto"/>
        </w:rPr>
      </w:pPr>
    </w:p>
    <w:p>
      <w:pPr>
        <w:jc w:val="both"/>
        <w:ind w:firstLine="1304"/>
        <w:spacing w:after="0" w:line="253" w:lineRule="auto"/>
        <w:tabs>
          <w:tab w:leader="none" w:pos="177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representation or warranty is made as to information contained in or omitted from the Registration Statement in reliance upon and in conformity with written information furnished to the Company through the Representative by or on behalf of any Underwriter specifically for inclusion therein, which information is specified in Section 8(f).</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Prospectus will not, as of its date or as of each Delivery Date,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representation or warranty is made as to information contained in or omitted from the Prospectus in reliance upon and in conformity with written information furnished to the Company through the Representative by or on behalf of any Underwriter specifically for inclusion therein, which information is specified in Section 8(f).</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incorporated by reference in any Preliminary Prospectus or the Prospectus did not, and any further documents filed and incorporated by reference therein will not, when filed with the Commission, contain any untrue statement of a material fact or omit to state a material fact necessary to make the statements therein, in the light of the circumstances under which they were made, not misleading.</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representation or warranty is made as to information contained in or omitted from the Pricing Disclosure Package in reliance upon and in conformity with written information furnished to the Company through the Representative by or on behalf of any Underwriter specifically for inclusion therein, which information is specified in Section 8(f).</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Issuer Free Writing Prospectus listed in Schedule III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representation or warranty is made as to information contained in or omitted from such Issuer Free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 listed in Schedule III hereto in reliance upon and in conformity with written information furnished to the Company through the Representative by or on behalf any Underwriter specifically for inclusion therein, which information is specified in Section 8(f).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 w:name="page9"/>
    <w:bookmarkEnd w:id="8"/>
    <w:p>
      <w:pPr>
        <w:jc w:val="both"/>
        <w:ind w:firstLine="1304"/>
        <w:spacing w:after="0" w:line="250" w:lineRule="auto"/>
        <w:tabs>
          <w:tab w:leader="none" w:pos="171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Stock will not be required to be filed pursuant to the Securities Act and the rules and regulations thereunder.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1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 has not alone engaged in any Testing-the-Waters Communications and (ii) has not authorized anyone other than Goldman Sachs &amp; Co. LLC, BofA Securities, Inc. and Truist Securities, Inc. to engage in Testing-the-Waters Communications. The Company reconfirms that Goldman Sachs &amp; Co. LLC, BofA Securities, Inc. and Truist Securities, Inc. have been authorized to act on its behalf in undertaking Testing-the-Waters Communications by virtue of a writing substantially in the form of Exhibit B hereto. The Company has not distributed or approved for distribution any Written Testing-the-Waters Communications other than those listed on Schedule V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Delivery Date and as of the Option Stock Delivery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9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statements made by the Company in the Registration Statement and the Pricing Disclosure Package and to be made in the Prospectus (and any supplements thereto) within the coverage of Rule 175(b) under the Securities Act was made or will be made with a reasonable basis and in good faith.</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1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has been duly organized, is validly existing and in good standing as a corporation or limited liability company, as applicable, under the laws of its jurisdiction of organization with power and authority to own and/or lease its properties and conduct its business as described in the Pricing Disclosure Package; and each of the Company and its subsidiaries is duly qualified to do business as a foreign corporation or limited liability company, as applicable, in good standing in all other jurisdictions in which its ownership or lease of property or the conduct of its business requires such qualification, except where the failure to so qualify or to be in good standing in such other jurisdictions would not reasonably be expected to, individually or in the aggregate, (i) result in a material adverse effect on the condition (financial or otherwise), results of operations, business, properties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60" w:lineRule="auto"/>
        <w:rPr>
          <w:sz w:val="20"/>
          <w:szCs w:val="20"/>
          <w:color w:val="auto"/>
        </w:rPr>
      </w:pPr>
      <w:r>
        <w:rPr>
          <w:rFonts w:ascii="Times New Roman" w:cs="Times New Roman" w:eastAsia="Times New Roman" w:hAnsi="Times New Roman"/>
          <w:sz w:val="22"/>
          <w:szCs w:val="22"/>
          <w:color w:val="auto"/>
        </w:rPr>
        <w:t>of the Company and its subsidiaries taken as a whole (a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or (ii) materially impair the ability of any of the Company and its subsidiaries to consummate the offering of the Stock or any other transactions provided for in this Agreement.</w:t>
      </w:r>
    </w:p>
    <w:p>
      <w:pPr>
        <w:spacing w:after="0" w:line="183" w:lineRule="exact"/>
        <w:rPr>
          <w:sz w:val="20"/>
          <w:szCs w:val="20"/>
          <w:color w:val="auto"/>
        </w:rPr>
      </w:pPr>
    </w:p>
    <w:p>
      <w:pPr>
        <w:jc w:val="both"/>
        <w:ind w:firstLine="1304"/>
        <w:spacing w:after="0" w:line="260" w:lineRule="auto"/>
        <w:tabs>
          <w:tab w:leader="none" w:pos="1991"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an authorized capitalization as set forth in the Registration Statement, the Pricing Disclosure Package and the Prospectus under the heading “Capitalization,” and the capital stock of the Company conforms in all material respects to the description thereof contained in the Registration Statement, the Pricing Disclosure Package and the Prospectus. Except, in each case, as described in the Registration Statement, the Pricing Disclosure Package and the Prospectus,</w:t>
      </w:r>
    </w:p>
    <w:p>
      <w:pPr>
        <w:spacing w:after="0" w:line="3" w:lineRule="exact"/>
        <w:rPr>
          <w:rFonts w:ascii="Times New Roman" w:cs="Times New Roman" w:eastAsia="Times New Roman" w:hAnsi="Times New Roman"/>
          <w:sz w:val="21"/>
          <w:szCs w:val="21"/>
          <w:color w:val="auto"/>
        </w:rPr>
      </w:pPr>
    </w:p>
    <w:p>
      <w:pPr>
        <w:jc w:val="both"/>
        <w:ind w:firstLine="8"/>
        <w:spacing w:after="0" w:line="245" w:lineRule="auto"/>
        <w:tabs>
          <w:tab w:leader="none" w:pos="26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outstanding shares of capital stock of the Company have been duly and validly authorized and issued and are fully paid and non-assessable and are not subject to any pre-emptive or similar rights and (ii)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w:t>
      </w:r>
    </w:p>
    <w:p>
      <w:pPr>
        <w:spacing w:after="0" w:line="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9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OpCo is the Company’s only “significant” subsidiary, as defined in Rule 1-02 of Regulation S-X. Diamondback Energy, Inc., a Delaware corporation (the “</w:t>
      </w:r>
      <w:r>
        <w:rPr>
          <w:rFonts w:ascii="Times New Roman" w:cs="Times New Roman" w:eastAsia="Times New Roman" w:hAnsi="Times New Roman"/>
          <w:sz w:val="22"/>
          <w:szCs w:val="22"/>
          <w:b w:val="1"/>
          <w:bCs w:val="1"/>
          <w:i w:val="1"/>
          <w:iCs w:val="1"/>
          <w:color w:val="auto"/>
        </w:rPr>
        <w:t>Sponsor</w:t>
      </w:r>
      <w:r>
        <w:rPr>
          <w:rFonts w:ascii="Times New Roman" w:cs="Times New Roman" w:eastAsia="Times New Roman" w:hAnsi="Times New Roman"/>
          <w:sz w:val="22"/>
          <w:szCs w:val="22"/>
          <w:color w:val="auto"/>
        </w:rPr>
        <w:t>”), owns directly and indirectly 85,431,453 units representing limited liability company interests in OpCo (the “</w:t>
      </w:r>
      <w:r>
        <w:rPr>
          <w:rFonts w:ascii="Times New Roman" w:cs="Times New Roman" w:eastAsia="Times New Roman" w:hAnsi="Times New Roman"/>
          <w:sz w:val="22"/>
          <w:szCs w:val="22"/>
          <w:b w:val="1"/>
          <w:bCs w:val="1"/>
          <w:i w:val="1"/>
          <w:iCs w:val="1"/>
          <w:color w:val="auto"/>
        </w:rPr>
        <w:t>OpCo Units</w:t>
      </w:r>
      <w:r>
        <w:rPr>
          <w:rFonts w:ascii="Times New Roman" w:cs="Times New Roman" w:eastAsia="Times New Roman" w:hAnsi="Times New Roman"/>
          <w:sz w:val="22"/>
          <w:szCs w:val="22"/>
          <w:color w:val="auto"/>
        </w:rPr>
        <w:t>”), and the Company owns 91,447,008 OpCo Units. All of the limited liability company interests in OpCo have been duly authorized and validly issued in accordance with the Second Amended and Restated Limited Liability Company Agreement of OpCo (as it may be amended from time to time, the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LLC Agreement</w:t>
      </w:r>
      <w:r>
        <w:rPr>
          <w:rFonts w:ascii="Times New Roman" w:cs="Times New Roman" w:eastAsia="Times New Roman" w:hAnsi="Times New Roman"/>
          <w:sz w:val="22"/>
          <w:szCs w:val="22"/>
          <w:color w:val="auto"/>
        </w:rPr>
        <w:t>”), and the Sponsor and the Company have no obligation to make further payments for the purchase of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membership interest except as may be otherwise provided under the OpCo LLC Agreement; and the Sponsor and the Company own such membership interest in OpCo free and clear of all liens, encumbrances, security interests, equities, charges or claims (“</w:t>
      </w:r>
      <w:r>
        <w:rPr>
          <w:rFonts w:ascii="Times New Roman" w:cs="Times New Roman" w:eastAsia="Times New Roman" w:hAnsi="Times New Roman"/>
          <w:sz w:val="22"/>
          <w:szCs w:val="22"/>
          <w:b w:val="1"/>
          <w:bCs w:val="1"/>
          <w:i w:val="1"/>
          <w:iCs w:val="1"/>
          <w:color w:val="auto"/>
        </w:rPr>
        <w:t>Liens</w:t>
      </w:r>
      <w:r>
        <w:rPr>
          <w:rFonts w:ascii="Times New Roman" w:cs="Times New Roman" w:eastAsia="Times New Roman" w:hAnsi="Times New Roman"/>
          <w:sz w:val="22"/>
          <w:szCs w:val="22"/>
          <w:color w:val="auto"/>
        </w:rPr>
        <w:t>”); except for (i) those arising under the Company’s Amended and Restated Senior Secured Revolving Credit Agreement, dated as of July 20, 2018, as may be amended, restated, supplemented or otherwise modified from time to time, (ii) restrictions on transferability contained in the OpCo LLC Agreement or (iii) as described in the Registration Statement, the Pricing Disclosure Package and the Prospectus, if any.</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 owns 85,431,453 shares of Class B common stock, par value $0.000001 per share (the “</w:t>
      </w:r>
      <w:r>
        <w:rPr>
          <w:rFonts w:ascii="Times New Roman" w:cs="Times New Roman" w:eastAsia="Times New Roman" w:hAnsi="Times New Roman"/>
          <w:sz w:val="22"/>
          <w:szCs w:val="22"/>
          <w:b w:val="1"/>
          <w:bCs w:val="1"/>
          <w:i w:val="1"/>
          <w:iCs w:val="1"/>
          <w:color w:val="auto"/>
        </w:rPr>
        <w:t>Sponsor Stock</w:t>
      </w:r>
      <w:r>
        <w:rPr>
          <w:rFonts w:ascii="Times New Roman" w:cs="Times New Roman" w:eastAsia="Times New Roman" w:hAnsi="Times New Roman"/>
          <w:sz w:val="22"/>
          <w:szCs w:val="22"/>
          <w:color w:val="auto"/>
        </w:rPr>
        <w:t>”); the Sponsor Stock has been duly authorized and is validly issued, fully paid and non-assessable; and the Sponsor owns all of the Sponsor Stock free and clear of all Liens, except or as described in the Registration Statement, the Pricing Disclosure Package and the Prospectus.</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to be issued and sold by the Company to the Underwriters hereunder has been duly and validly authorized and, when issued and delivered against payment therefor as provided herein, will be duly and validly issued and fully paid and non-assessable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6" w:right="339" w:bottom="1440" w:gutter="0" w:footer="0" w:header="0"/>
        </w:sectPr>
      </w:pPr>
    </w:p>
    <w:bookmarkStart w:id="10" w:name="page11"/>
    <w:bookmarkEnd w:id="10"/>
    <w:p>
      <w:pPr>
        <w:spacing w:after="0" w:line="271" w:lineRule="auto"/>
        <w:rPr>
          <w:sz w:val="20"/>
          <w:szCs w:val="20"/>
          <w:color w:val="auto"/>
        </w:rPr>
      </w:pPr>
      <w:r>
        <w:rPr>
          <w:rFonts w:ascii="Times New Roman" w:cs="Times New Roman" w:eastAsia="Times New Roman" w:hAnsi="Times New Roman"/>
          <w:sz w:val="22"/>
          <w:szCs w:val="22"/>
          <w:color w:val="auto"/>
        </w:rPr>
        <w:t>will conform in all material respects to the description thereof contained in the Registration Statement and the Pricing Disclosure Package and to be contained in the Prospectus.</w:t>
      </w:r>
    </w:p>
    <w:p>
      <w:pPr>
        <w:spacing w:after="0" w:line="158" w:lineRule="exact"/>
        <w:rPr>
          <w:sz w:val="20"/>
          <w:szCs w:val="20"/>
          <w:color w:val="auto"/>
        </w:rPr>
      </w:pPr>
    </w:p>
    <w:p>
      <w:pPr>
        <w:jc w:val="both"/>
        <w:ind w:firstLine="1304"/>
        <w:spacing w:after="0" w:line="252" w:lineRule="auto"/>
        <w:tabs>
          <w:tab w:leader="none" w:pos="178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the Registration Statement and the most recent Preliminary Prospectus, there are no profits interests, options, warrants, preemptive rights, rights of first refusal or other rights to subscribe for or to purchase, nor any restriction upon the voting or transfer of, any equity securities of any of the Company pursuant to any agreement or other instrument to which the Company is a party or by which the Company may be bound. Except for such rights that have been waived or as described in the Registration Statement, the Pricing Disclosure Package and the Prospectus, neither the filing of the Registration Statement nor the offering or sale of the Stock as contemplated by this Agreement gives rise to any rights for or relating to the registration of any Common Stock or other securities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power and authority to execute, deliver and perform its obligations under this Agreement. At each Delivery Date, all corporate action required to be taken by the Company or any of its shareholders for the consummation of any transactions contemplated by this Agreement shall have been validly taken.</w:t>
      </w:r>
    </w:p>
    <w:p>
      <w:pPr>
        <w:spacing w:after="0" w:line="17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and validly authorized, executed and delivered by the Company.</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statements in the Registration Statement and Pricing Disclosure Package under the captions “Description of Capital Stock,” “Dividend Policy,” and “Material U.S. Federal Income Tax Consequences for Non-U.S. Holders” insofar as they purport to summarize the provisions of the legal matters and documents referred to therein, are accurate summaries in all material respects. 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1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distributed and, prior to the later to occur of each Delivery Date and completion of the distribution of the Stock, will not distribute any offering material in connection with the offering and sale of the Stock other than any Preliminary Prospectus, the Prospectus and any Issuer Free Writing Prospectus to which the Representative has consented in accordance with Section 5(a)(vi) and any press release or other announcement permitted by Rule 134 or Rule 135 under the Securities Act.</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or filing or registration with any governmental agency or body or any court having jurisdiction over any of the Company or any of its subsidiaries or any of their properties or assets is required to be obtained or made by the Company for the consummation of the transactions contemplated by this Agreement, except such as (i) have been obtained or made, (ii) may be required under state securities laws, the Securities Act or the Exchange Act, by the Nasdaq Global Select Market or by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1" w:name="page12"/>
    <w:bookmarkEnd w:id="11"/>
    <w:p>
      <w:pPr>
        <w:spacing w:after="0" w:line="276" w:lineRule="auto"/>
        <w:rPr>
          <w:sz w:val="20"/>
          <w:szCs w:val="20"/>
          <w:color w:val="auto"/>
        </w:rPr>
      </w:pPr>
      <w:r>
        <w:rPr>
          <w:rFonts w:ascii="Times New Roman" w:cs="Times New Roman" w:eastAsia="Times New Roman" w:hAnsi="Times New Roman"/>
          <w:sz w:val="22"/>
          <w:szCs w:val="22"/>
          <w:color w:val="auto"/>
        </w:rPr>
        <w:t>Industry Regulatory Authority (“</w:t>
      </w:r>
      <w:r>
        <w:rPr>
          <w:rFonts w:ascii="Times New Roman" w:cs="Times New Roman" w:eastAsia="Times New Roman" w:hAnsi="Times New Roman"/>
          <w:sz w:val="22"/>
          <w:szCs w:val="22"/>
          <w:b w:val="1"/>
          <w:bCs w:val="1"/>
          <w:i w:val="1"/>
          <w:iCs w:val="1"/>
          <w:color w:val="auto"/>
        </w:rPr>
        <w:t>FINRA</w:t>
      </w:r>
      <w:r>
        <w:rPr>
          <w:rFonts w:ascii="Times New Roman" w:cs="Times New Roman" w:eastAsia="Times New Roman" w:hAnsi="Times New Roman"/>
          <w:sz w:val="22"/>
          <w:szCs w:val="22"/>
          <w:color w:val="auto"/>
        </w:rPr>
        <w:t>”) and (iii) the absence or omission of which would not reasonably be expected to materially impair the ability of the Company to consummate the transactions contemplated by this Agreement.</w:t>
      </w:r>
    </w:p>
    <w:p>
      <w:pPr>
        <w:spacing w:after="0" w:line="153" w:lineRule="exact"/>
        <w:rPr>
          <w:sz w:val="20"/>
          <w:szCs w:val="20"/>
          <w:color w:val="auto"/>
        </w:rPr>
      </w:pPr>
    </w:p>
    <w:p>
      <w:pPr>
        <w:jc w:val="both"/>
        <w:ind w:firstLine="1304"/>
        <w:spacing w:after="0" w:line="262" w:lineRule="auto"/>
        <w:tabs>
          <w:tab w:leader="none" w:pos="177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Pricing Disclosure Package, each of the Company and its subsidiaries has (i) good and defensible title to all of the interests in oil and gas properties underlying its estimates of its net proved reserves contained or incorporated by reference in the Pricing Disclosure Package and (ii) good and marketable title to all other real and personal property reflected in the Pricing Disclosure Package as assets owned by it, in each case free and clear of all liens, encumbrances and defects, except such as (x) are described in the Registration Statement, the Pricing Disclosure Package and the Prospectus or</w:t>
      </w:r>
    </w:p>
    <w:p>
      <w:pPr>
        <w:spacing w:after="0" w:line="1" w:lineRule="exact"/>
        <w:rPr>
          <w:rFonts w:ascii="Times New Roman" w:cs="Times New Roman" w:eastAsia="Times New Roman" w:hAnsi="Times New Roman"/>
          <w:sz w:val="21"/>
          <w:szCs w:val="21"/>
          <w:color w:val="auto"/>
        </w:rPr>
      </w:pPr>
    </w:p>
    <w:p>
      <w:pPr>
        <w:ind w:firstLine="8"/>
        <w:spacing w:after="0" w:line="261" w:lineRule="auto"/>
        <w:tabs>
          <w:tab w:leader="none" w:pos="32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materially affect the value of the properties of the Company or its subsidiaries and do not interfere in any material respect with the use made or proposed to be made of such properties by the Company or its subsidiaries.</w:t>
      </w:r>
    </w:p>
    <w:p>
      <w:pPr>
        <w:spacing w:after="0" w:line="16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97"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subsidiaries has such consents, easements, rights-of-way or licenses from any person (collectively, “</w:t>
      </w:r>
      <w:r>
        <w:rPr>
          <w:rFonts w:ascii="Times New Roman" w:cs="Times New Roman" w:eastAsia="Times New Roman" w:hAnsi="Times New Roman"/>
          <w:sz w:val="21"/>
          <w:szCs w:val="21"/>
          <w:b w:val="1"/>
          <w:bCs w:val="1"/>
          <w:i w:val="1"/>
          <w:iCs w:val="1"/>
          <w:color w:val="auto"/>
        </w:rPr>
        <w:t>rights-of-way</w:t>
      </w:r>
      <w:r>
        <w:rPr>
          <w:rFonts w:ascii="Times New Roman" w:cs="Times New Roman" w:eastAsia="Times New Roman" w:hAnsi="Times New Roman"/>
          <w:sz w:val="21"/>
          <w:szCs w:val="21"/>
          <w:color w:val="auto"/>
        </w:rPr>
        <w:t>”) as are necessary to enable it to conduct its business in the manner described in the Pricing Disclosure Package, subject to qualifications as may be set forth in the Pricing Disclosure Package, except where failure to have such rights-of-way would not reasonably be expected to, individually or in the aggregate, have a Material Adverse Effect.</w:t>
      </w:r>
    </w:p>
    <w:p>
      <w:pPr>
        <w:spacing w:after="0" w:line="157" w:lineRule="exact"/>
        <w:rPr>
          <w:sz w:val="20"/>
          <w:szCs w:val="20"/>
          <w:color w:val="auto"/>
        </w:rPr>
      </w:pPr>
    </w:p>
    <w:p>
      <w:pPr>
        <w:jc w:val="both"/>
        <w:ind w:firstLine="1304"/>
        <w:spacing w:after="0" w:line="249" w:lineRule="auto"/>
        <w:tabs>
          <w:tab w:leader="none" w:pos="187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Ryder Scott Company, L.P. (“</w:t>
      </w:r>
      <w:r>
        <w:rPr>
          <w:rFonts w:ascii="Times New Roman" w:cs="Times New Roman" w:eastAsia="Times New Roman" w:hAnsi="Times New Roman"/>
          <w:sz w:val="22"/>
          <w:szCs w:val="22"/>
          <w:b w:val="1"/>
          <w:bCs w:val="1"/>
          <w:i w:val="1"/>
          <w:iCs w:val="1"/>
          <w:color w:val="auto"/>
        </w:rPr>
        <w:t>Ryder Scott</w:t>
      </w:r>
      <w:r>
        <w:rPr>
          <w:rFonts w:ascii="Times New Roman" w:cs="Times New Roman" w:eastAsia="Times New Roman" w:hAnsi="Times New Roman"/>
          <w:sz w:val="22"/>
          <w:szCs w:val="22"/>
          <w:color w:val="auto"/>
        </w:rPr>
        <w:t>”), a reserve engineer that audited reserve reports on estimated net proved oil and natural gas reserves with respect to the mineral interests held by OpCo, as of December 31, 2023, December 31, 2022 and December 31, 2021 was, as of the date of the audit of such reserve reports, and is, as of the date hereof, an independent petroleum engineer with respect to the Company, (ii) Cawley Gillespie &amp; Associates, Inc. (“</w:t>
      </w:r>
      <w:r>
        <w:rPr>
          <w:rFonts w:ascii="Times New Roman" w:cs="Times New Roman" w:eastAsia="Times New Roman" w:hAnsi="Times New Roman"/>
          <w:sz w:val="22"/>
          <w:szCs w:val="22"/>
          <w:b w:val="1"/>
          <w:bCs w:val="1"/>
          <w:i w:val="1"/>
          <w:iCs w:val="1"/>
          <w:color w:val="auto"/>
        </w:rPr>
        <w:t>CGA</w:t>
      </w:r>
      <w:r>
        <w:rPr>
          <w:rFonts w:ascii="Times New Roman" w:cs="Times New Roman" w:eastAsia="Times New Roman" w:hAnsi="Times New Roman"/>
          <w:sz w:val="22"/>
          <w:szCs w:val="22"/>
          <w:color w:val="auto"/>
        </w:rPr>
        <w:t>”), the petroleum consultants that evaluated reserve reports on estimated net proved oil and natural gas reserves of Tumbleweed as of December 31, 2023, were, as of the date of the evaluation of such reserve reports, and are, as of the date hereof, independent petroleum consultants with respect to Tumbleweed and (iii) DeGolyer &amp; MacNaughton (“</w:t>
      </w:r>
      <w:r>
        <w:rPr>
          <w:rFonts w:ascii="Times New Roman" w:cs="Times New Roman" w:eastAsia="Times New Roman" w:hAnsi="Times New Roman"/>
          <w:sz w:val="22"/>
          <w:szCs w:val="22"/>
          <w:b w:val="1"/>
          <w:bCs w:val="1"/>
          <w:i w:val="1"/>
          <w:iCs w:val="1"/>
          <w:color w:val="auto"/>
        </w:rPr>
        <w:t>D&amp;M</w:t>
      </w:r>
      <w:r>
        <w:rPr>
          <w:rFonts w:ascii="Times New Roman" w:cs="Times New Roman" w:eastAsia="Times New Roman" w:hAnsi="Times New Roman"/>
          <w:sz w:val="22"/>
          <w:szCs w:val="22"/>
          <w:color w:val="auto"/>
        </w:rPr>
        <w:t>”), a reserve engineer that prepared reserve reports on estimated net proved oil and natural gas reserves of the GRP Assets as of April 1, 2023 was, as of the date of preparation of such reserve reports, and is, as of the date hereof, an independent petroleum engineer with respect to GRP Energy Capital.</w:t>
      </w:r>
    </w:p>
    <w:p>
      <w:pPr>
        <w:spacing w:after="0" w:line="189"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4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or incorporated by reference in the Pricing Disclosure Package regarding estimated proved reserves is based upon the reserve reports audited or prepared by Ryder Scott, CGA and D&amp;M. The information provided to Ryder Scott by the Company and its subsidiaries, and, to the knowledge of the Company and its subsidiaries, the information provided to CGA by Tumbleweed and to D&amp;M by the GRP Sellers, including, without limitation, information as to production, costs of operation and development, current prices for production, agreements relating to current and future operations and sales of production, was true and correct in all material respects on the dates that such reports were made. Such information was provided to Ryder Scott, and, to the knowledge of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subsidiaries, such information was provided to each of CGA and D&amp;M, in accordance with all customary industry practices.</w:t>
      </w:r>
    </w:p>
    <w:p>
      <w:pPr>
        <w:spacing w:after="0" w:line="220" w:lineRule="exact"/>
        <w:rPr>
          <w:sz w:val="20"/>
          <w:szCs w:val="20"/>
          <w:color w:val="auto"/>
        </w:rPr>
      </w:pPr>
    </w:p>
    <w:p>
      <w:pPr>
        <w:jc w:val="both"/>
        <w:ind w:firstLine="1304"/>
        <w:spacing w:after="0" w:line="259" w:lineRule="auto"/>
        <w:tabs>
          <w:tab w:leader="none" w:pos="1861"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reserve reports audited by Ryder Scott contained or incorporated by reference in the Pricing Disclosure Package (the “</w:t>
      </w:r>
      <w:r>
        <w:rPr>
          <w:rFonts w:ascii="Times New Roman" w:cs="Times New Roman" w:eastAsia="Times New Roman" w:hAnsi="Times New Roman"/>
          <w:sz w:val="21"/>
          <w:szCs w:val="21"/>
          <w:b w:val="1"/>
          <w:bCs w:val="1"/>
          <w:i w:val="1"/>
          <w:iCs w:val="1"/>
          <w:color w:val="auto"/>
        </w:rPr>
        <w:t>RS Reserve Reports</w:t>
      </w:r>
      <w:r>
        <w:rPr>
          <w:rFonts w:ascii="Times New Roman" w:cs="Times New Roman" w:eastAsia="Times New Roman" w:hAnsi="Times New Roman"/>
          <w:sz w:val="21"/>
          <w:szCs w:val="21"/>
          <w:color w:val="auto"/>
        </w:rPr>
        <w:t>”) setting forth the estimated proved reserves with respect to the mineral interests held by OpCo accurately reflect in all material respects the ownership interests of OpCo in the properties therein. To the knowledge of the Company and its subsidiaries, the reserve reports evaluated by CGA contained or incorporated by reference in the Pricing Disclosure Package (the “</w:t>
      </w:r>
      <w:r>
        <w:rPr>
          <w:rFonts w:ascii="Times New Roman" w:cs="Times New Roman" w:eastAsia="Times New Roman" w:hAnsi="Times New Roman"/>
          <w:sz w:val="21"/>
          <w:szCs w:val="21"/>
          <w:b w:val="1"/>
          <w:bCs w:val="1"/>
          <w:i w:val="1"/>
          <w:iCs w:val="1"/>
          <w:color w:val="auto"/>
        </w:rPr>
        <w:t>CGA Reserve Reports</w:t>
      </w:r>
      <w:r>
        <w:rPr>
          <w:rFonts w:ascii="Times New Roman" w:cs="Times New Roman" w:eastAsia="Times New Roman" w:hAnsi="Times New Roman"/>
          <w:sz w:val="21"/>
          <w:szCs w:val="21"/>
          <w:color w:val="auto"/>
        </w:rPr>
        <w:t>”) setting forth the estimated net proved oil and gas reserves of Tumbleweed accurately reflect in all material respects the ownership interests of Tumbleweed in the properties therein. To the knowledge of the Company and its subsidiaries, the reserve reports prepared by D&amp;M contained or incorporated by reference in the Pricing Disclosure Package (the “</w:t>
      </w:r>
      <w:r>
        <w:rPr>
          <w:rFonts w:ascii="Times New Roman" w:cs="Times New Roman" w:eastAsia="Times New Roman" w:hAnsi="Times New Roman"/>
          <w:sz w:val="21"/>
          <w:szCs w:val="21"/>
          <w:b w:val="1"/>
          <w:bCs w:val="1"/>
          <w:i w:val="1"/>
          <w:iCs w:val="1"/>
          <w:color w:val="auto"/>
        </w:rPr>
        <w:t>D&amp;M Reserve Reports</w:t>
      </w:r>
      <w:r>
        <w:rPr>
          <w:rFonts w:ascii="Times New Roman" w:cs="Times New Roman" w:eastAsia="Times New Roman" w:hAnsi="Times New Roman"/>
          <w:sz w:val="21"/>
          <w:szCs w:val="21"/>
          <w:color w:val="auto"/>
        </w:rPr>
        <w:t>” and, together with the RS Reserve Reports and the CGA Reserve Reports, the “</w:t>
      </w:r>
      <w:r>
        <w:rPr>
          <w:rFonts w:ascii="Times New Roman" w:cs="Times New Roman" w:eastAsia="Times New Roman" w:hAnsi="Times New Roman"/>
          <w:sz w:val="21"/>
          <w:szCs w:val="21"/>
          <w:b w:val="1"/>
          <w:bCs w:val="1"/>
          <w:i w:val="1"/>
          <w:iCs w:val="1"/>
          <w:color w:val="auto"/>
        </w:rPr>
        <w:t>Reserve Reports</w:t>
      </w:r>
      <w:r>
        <w:rPr>
          <w:rFonts w:ascii="Times New Roman" w:cs="Times New Roman" w:eastAsia="Times New Roman" w:hAnsi="Times New Roman"/>
          <w:sz w:val="21"/>
          <w:szCs w:val="21"/>
          <w:color w:val="auto"/>
        </w:rPr>
        <w:t>”) setting forth the estimated net proved oil and gas reserves of the GRP Assets accurately reflect in all material respects the ownership interests of the GRP Sellers in the properties therein. Other than normal production of reserves, intervening market commodity price fluctuations, fluctuations in demand for such products, adverse weather conditions, unavailability or increased costs of rigs, equipment, supplies or personnel, the timing of third party operations and other facts, in each case in the ordinary course of business, and except as disclosed in the Pricing Disclosure Package, none of the Company or its subsidiaries is aware of any facts or circumstances that would result in a material adverse change in the aggregate net reserves, or the present value of future net cash flows therefrom, as described or incorporated by reference in the Pricing Disclosure Package and the Reserve Reports; and estimates of such reserves and present values as described or incorporated by reference in the Pricing Disclosure Package and reflected in the Reserve Reports comply in all material respects with the applicable requirements of Regulation S-X and Subpart 1200 of Regulation S-K under the Securities Act.</w:t>
      </w:r>
    </w:p>
    <w:p>
      <w:pPr>
        <w:spacing w:after="0" w:line="196"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by the Company will not result in a breach or violation of any of the terms and provisions of, or constitute a default under, or result in the imposition of any lien, charge or encumbrance upon any property or assets of the Company and its subsidiaries pursuant to (i) its charter and by-laws, (ii) any statute, rule, regulation or order of any governmental agency or body or any court, domestic or foreign, having jurisdiction over the Company and its subsidiaries or any of their respective properties, or (iii) any agreement or instrument to which any of the Company or its subsidiaries is a party or by which the Company and its subsidiaries are bound or to which any of the properties of the Company and its subsidiaries is subject, except in the case of clauses (ii) and (iii), for any breaches, violations, defaults, liens, charges or encumbrances, which, individually or in the aggregate, would not result in a Material Adverse Effect.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its subsidiaries (i) is in violation of its respective charter, limited liability company agreement or similar organizational documents, (ii) is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or (iii)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22"/>
          <w:szCs w:val="22"/>
          <w:color w:val="auto"/>
        </w:rPr>
        <w:t>violation of any statute or any order, rule or regulation of any court or governmental agency or body having jurisdiction over it or its property or assets, except in the case of clauses (ii) and (iii), to the extent any such violation or default would not reasonably be expected to, individually or in the aggregate, result in a Material Adverse Effect.</w:t>
      </w:r>
    </w:p>
    <w:p>
      <w:pPr>
        <w:spacing w:after="0" w:line="186" w:lineRule="exact"/>
        <w:rPr>
          <w:sz w:val="20"/>
          <w:szCs w:val="20"/>
          <w:color w:val="auto"/>
        </w:rPr>
      </w:pPr>
    </w:p>
    <w:p>
      <w:pPr>
        <w:jc w:val="both"/>
        <w:ind w:firstLine="1304"/>
        <w:spacing w:after="0" w:line="262" w:lineRule="auto"/>
        <w:tabs>
          <w:tab w:leader="none" w:pos="185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possess all adequate certificates, authorizations, franchises, licenses and permits issued by appropriate federal, state, local or foreign regulatory bodies (collectively, “</w:t>
      </w:r>
      <w:r>
        <w:rPr>
          <w:rFonts w:ascii="Times New Roman" w:cs="Times New Roman" w:eastAsia="Times New Roman" w:hAnsi="Times New Roman"/>
          <w:sz w:val="21"/>
          <w:szCs w:val="21"/>
          <w:b w:val="1"/>
          <w:bCs w:val="1"/>
          <w:i w:val="1"/>
          <w:iCs w:val="1"/>
          <w:color w:val="auto"/>
        </w:rPr>
        <w:t>Licenses</w:t>
      </w:r>
      <w:r>
        <w:rPr>
          <w:rFonts w:ascii="Times New Roman" w:cs="Times New Roman" w:eastAsia="Times New Roman" w:hAnsi="Times New Roman"/>
          <w:sz w:val="21"/>
          <w:szCs w:val="21"/>
          <w:color w:val="auto"/>
        </w:rPr>
        <w:t>”) necessary or material to the conduct of the business now conducted or proposed in the Pricing Disclosure Package to be conducted by them, except where the failure to have obtained the same would not reasonably be expected to result in a Material Adverse Effect. The Company and its subsidiaries are in compliance with the terms and conditions of all such Licenses, except where the failure to so comply would not reasonably be expected to, individually or in the aggregate, result in a Material Adverse Effect, and have not received any notice of proceedings relating to the revocation or modification of any Licenses that, if determined adversely to the Company and its subsidiaries, would reasonably be expected to, individually or in the aggregate, result in a Material Adverse Effect.</w:t>
      </w:r>
    </w:p>
    <w:p>
      <w:pPr>
        <w:spacing w:after="0" w:line="172" w:lineRule="exact"/>
        <w:rPr>
          <w:rFonts w:ascii="Times New Roman" w:cs="Times New Roman" w:eastAsia="Times New Roman" w:hAnsi="Times New Roman"/>
          <w:sz w:val="21"/>
          <w:szCs w:val="21"/>
          <w:color w:val="auto"/>
        </w:rPr>
      </w:pPr>
    </w:p>
    <w:p>
      <w:pPr>
        <w:jc w:val="both"/>
        <w:ind w:firstLine="1304"/>
        <w:spacing w:after="0" w:line="247" w:lineRule="auto"/>
        <w:tabs>
          <w:tab w:leader="none" w:pos="19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Pricing Disclosure Package, (a)(i) none of the Company or its subsidiaries is in violation of, and none of the Company or its subsidiaries has any liability under, any federal, state, local or non-U.S. statute, law, rule, regulation, ordinance, code, other requirement or rule of law (including common law), or decision or order of any domestic or foreign governmental agency, governmental body or court, relating to pollution, to the generation, use, handling, transportation, treatment, storage, discharge, disposal or release of Hazardous Substances (as defined below), to the protection or restoration of the environment or natural resources, to health and safety including as such relates to exposure to Hazardous Substances, and to natural resource damages (collectively, “</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(ii) to the knowledge of the Company and its subsidiaries, none of the Company and its subsidiaries owns, occupies, operates or uses any real property contaminated with Hazardous Substances, (iii) none of the Company or its subsidiaries is conducting or funding any investigation, remediation, remedial action or monitoring of actual or suspected Hazardous Substances in the environment, (iv) to the knowledge of the Company and its subsidiaries, none of the Company and its subsidiaries is liable or allegedly liable for any release or threatened release of Hazardous Substances, including at any off-site treatment, storage or disposal site, (v) none of the Company or its subsidiaries is subject to any pending, or to the Company and its subsidiaries’ knowledge threatened, claim by any governmental agency or governmental body or person arising under Environmental Laws or relating to Hazardous Substances, and (vi) the Company and its subsidiaries have received and are in compliance with all, and have no liability under any, permits, licenses, authorizations, identification numbers or other approvals required under applicable Environmental Laws to conduct their business, except in each case covered by clauses (i) – (vi) such as would not, individually or in the aggregate, result in a Material Adverse Effect; (b) to the knowledge of the Company and its subsidiaries, there are no facts or circumstances that would reasonably be expected to result in a violation of, liability under, or claim pursuant to any Environmental Law that would result in a Material Adverse Effect; and (c) in the ordinary course of its business, the Company and its subsidiaries periodically evaluate the effect, including associated costs and liabilities, of Environmental Laws on the business, properties, results of operations and financial condition of the Company, and, on the basis of such evaluation,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22"/>
          <w:szCs w:val="22"/>
          <w:color w:val="auto"/>
        </w:rPr>
        <w:t>Company and its subsidiaries have reasonably concluded that such Environmental Laws will not, individually or in the aggregate, result in a Material Adverse Effect. For purposes of this subsection, “</w:t>
      </w:r>
      <w:r>
        <w:rPr>
          <w:rFonts w:ascii="Times New Roman" w:cs="Times New Roman" w:eastAsia="Times New Roman" w:hAnsi="Times New Roman"/>
          <w:sz w:val="22"/>
          <w:szCs w:val="22"/>
          <w:b w:val="1"/>
          <w:bCs w:val="1"/>
          <w:i w:val="1"/>
          <w:iCs w:val="1"/>
          <w:color w:val="auto"/>
        </w:rPr>
        <w:t>Hazardous Substances</w:t>
      </w:r>
      <w:r>
        <w:rPr>
          <w:rFonts w:ascii="Times New Roman" w:cs="Times New Roman" w:eastAsia="Times New Roman" w:hAnsi="Times New Roman"/>
          <w:sz w:val="22"/>
          <w:szCs w:val="22"/>
          <w:color w:val="auto"/>
        </w:rPr>
        <w:t>” means (A) petroleum and petroleum products, by-products or breakdown products, radioactive materials, asbestos-containing materials, polychlorinated biphenyls, per- and polyfluoroalkyl substances, and mold, and (B) any other chemical, material or substance defined or regulated as toxic or hazardous or as a pollutant, contaminant or waste under Environmental Laws.</w:t>
      </w:r>
    </w:p>
    <w:p>
      <w:pPr>
        <w:spacing w:after="0" w:line="179" w:lineRule="exact"/>
        <w:rPr>
          <w:sz w:val="20"/>
          <w:szCs w:val="20"/>
          <w:color w:val="auto"/>
        </w:rPr>
      </w:pPr>
    </w:p>
    <w:p>
      <w:pPr>
        <w:jc w:val="both"/>
        <w:ind w:firstLine="1304"/>
        <w:spacing w:after="0" w:line="257" w:lineRule="auto"/>
        <w:tabs>
          <w:tab w:leader="none" w:pos="192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its subsidiaries has taken, directly or indirectly, any action that is designed to or that has constituted or that would reasonably be expected to cause or result in the stabilization or manipulation of the price of any security of the Company to facilitate the sale or resale of the Stock.</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172"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Pricing Disclosure Package, there are no contracts, agreements or understandings between the Company and any person that would give rise to a valid claim against the Company or the Underwriters for a brokerage commission, finder’s fee or other like payment in connection with the offering and sale of the Stock.</w:t>
      </w:r>
    </w:p>
    <w:p>
      <w:pPr>
        <w:spacing w:after="0" w:line="16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8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third-party statistical and market-related data included or incorporated by reference in the Registration Statement, Prospectus or Pricing Disclosure Package are based on or derived from sources that the Company believes to be reliable and accurate in all material respects.</w:t>
      </w:r>
    </w:p>
    <w:p>
      <w:pPr>
        <w:spacing w:after="0" w:line="16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5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and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are in compliance with all applicable provisions of the Sarbanes-Oxley Act of 2002, the Exchange Act and the rules of the Nasdaq Global Select Market (the “</w:t>
      </w:r>
      <w:r>
        <w:rPr>
          <w:rFonts w:ascii="Times New Roman" w:cs="Times New Roman" w:eastAsia="Times New Roman" w:hAnsi="Times New Roman"/>
          <w:sz w:val="22"/>
          <w:szCs w:val="22"/>
          <w:b w:val="1"/>
          <w:bCs w:val="1"/>
          <w:i w:val="1"/>
          <w:iCs w:val="1"/>
          <w:color w:val="auto"/>
        </w:rPr>
        <w:t>Nasdaq Rules</w:t>
      </w:r>
      <w:r>
        <w:rPr>
          <w:rFonts w:ascii="Times New Roman" w:cs="Times New Roman" w:eastAsia="Times New Roman" w:hAnsi="Times New Roman"/>
          <w:sz w:val="22"/>
          <w:szCs w:val="22"/>
          <w:color w:val="auto"/>
        </w:rPr>
        <w:t>”). The Company maintains a system of internal controls, including, but not limited to, disclosure controls and procedures and internal controls over accounting matters and financial reporting (collectively, “</w:t>
      </w:r>
      <w:r>
        <w:rPr>
          <w:rFonts w:ascii="Times New Roman" w:cs="Times New Roman" w:eastAsia="Times New Roman" w:hAnsi="Times New Roman"/>
          <w:sz w:val="22"/>
          <w:szCs w:val="22"/>
          <w:b w:val="1"/>
          <w:bCs w:val="1"/>
          <w:i w:val="1"/>
          <w:iCs w:val="1"/>
          <w:color w:val="auto"/>
        </w:rPr>
        <w:t>Internal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Controls</w:t>
      </w:r>
      <w:r>
        <w:rPr>
          <w:rFonts w:ascii="Times New Roman" w:cs="Times New Roman" w:eastAsia="Times New Roman" w:hAnsi="Times New Roman"/>
          <w:sz w:val="22"/>
          <w:szCs w:val="22"/>
          <w:color w:val="auto"/>
        </w:rPr>
        <w:t>”) that comply with the applicable provisions of the Exchange Act and the rules and regulations thereunder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Nasdaq Rules and are sufficient to provide reasonable assurances that (i) transactions are executed in accordance with management’s general or specific authorizations, (ii) transactions are recorded as necessary to permit preparation of financial statements in conformity with U.S. Generally Accepted Accounting Principles (“</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and to maintain accountability for assets, (iii) access to assets is permitted only in accordance with management’s general or specific authorization, (iv) the recorded accounting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The Internal Controls are overseen by the Audit Committee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22"/>
          <w:szCs w:val="22"/>
          <w:color w:val="auto"/>
        </w:rPr>
        <w:t>Board (the “</w:t>
      </w:r>
      <w:r>
        <w:rPr>
          <w:rFonts w:ascii="Times New Roman" w:cs="Times New Roman" w:eastAsia="Times New Roman" w:hAnsi="Times New Roman"/>
          <w:sz w:val="22"/>
          <w:szCs w:val="22"/>
          <w:b w:val="1"/>
          <w:bCs w:val="1"/>
          <w:i w:val="1"/>
          <w:iCs w:val="1"/>
          <w:color w:val="auto"/>
        </w:rPr>
        <w:t>Audit Committee</w:t>
      </w:r>
      <w:r>
        <w:rPr>
          <w:rFonts w:ascii="Times New Roman" w:cs="Times New Roman" w:eastAsia="Times New Roman" w:hAnsi="Times New Roman"/>
          <w:sz w:val="22"/>
          <w:szCs w:val="22"/>
          <w:color w:val="auto"/>
        </w:rPr>
        <w:t>”) in accordance with Exchange Rules. The Company has not publicly disclosed or reported to the Audit Committee or the Board, and within the next 135 days the Company does not reasonably expect to publicly disclose or report to the Audit Committee or the Board, a significant deficiency, material weakness or fraud involving management or other employees who have a significant role in Internal Controls, any violation of, or failure to comply with, the applicable provisions of the Exchange Act and the rules and regulations thereunder and the Nasdaq Rules, or any matter which, if determined adversely, would result in a Material Adverse Effect.</w:t>
      </w:r>
    </w:p>
    <w:p>
      <w:pPr>
        <w:spacing w:after="0" w:line="181" w:lineRule="exact"/>
        <w:rPr>
          <w:sz w:val="20"/>
          <w:szCs w:val="20"/>
          <w:color w:val="auto"/>
        </w:rPr>
      </w:pPr>
    </w:p>
    <w:p>
      <w:pPr>
        <w:jc w:val="both"/>
        <w:ind w:firstLine="1304"/>
        <w:spacing w:after="0" w:line="262" w:lineRule="auto"/>
        <w:tabs>
          <w:tab w:leader="none" w:pos="203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Pricing Disclosure Package, there are no pending actions, suits or proceedings (including any inquiries or investigations by any court or governmental agency or body, domestic or foreign) against or affecting the Company and its subsidiaries or, to the knowledge of the Company and its subsidiaries, any of their respective properties that, if determined adversely to the Company and its subsidiaries, would reasonably be expected to, individually or in the aggregate, result in a Material Adverse Effect, or would materially and adversely affect the ability of the Company and its subsidiaries to perform their respective obligations under this Agreement, or which are otherwise material in the context of the sale of the Stock; and no such actions, suits or proceedings (including any inquiries or investigations by any court or governmental agency or body, domestic or foreign) are, to the knowledge of the Company and its subsidiaries, threatened or contemplated.</w:t>
      </w:r>
    </w:p>
    <w:p>
      <w:pPr>
        <w:spacing w:after="0" w:line="186" w:lineRule="exact"/>
        <w:rPr>
          <w:rFonts w:ascii="Times New Roman" w:cs="Times New Roman" w:eastAsia="Times New Roman" w:hAnsi="Times New Roman"/>
          <w:sz w:val="21"/>
          <w:szCs w:val="21"/>
          <w:color w:val="auto"/>
        </w:rPr>
      </w:pPr>
    </w:p>
    <w:p>
      <w:pPr>
        <w:jc w:val="both"/>
        <w:ind w:firstLine="1304"/>
        <w:spacing w:after="0" w:line="247" w:lineRule="auto"/>
        <w:tabs>
          <w:tab w:leader="none" w:pos="212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historical financial statements of the Company included or incorporated by reference in the Registration Statement and the Pricing Disclosure Package present fairly in all material respects the financial position of the Company at the dates and for the periods indicated, and such financial statements have been prepared in conformity with GAAP, applied on a consistent basis. Grant Thornton LLP has certified the audited financial statements of the Company included or incorporated by reference in the Registration Statement, Pricing Disclosure Package and the Prospectus, and is an independent registered public accounting firm with respect to the Company as required by the Securities Act and the applicable rules and guidance from the Public Company Accounting Oversight Board (United States). The other financial and statistical data of the Company and its subsidiaries included or incorporated by reference in the Registration Statement, the Pricing Disclosure Package and the Prospectus present fairly, in all material respects, the information shown therein and such data has been compiled on a basis consistent with the financial statements presented therein and the books and records of the Company and its subsidiaries. The Company and its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the Pricing Disclosure Package and the Prospectus. Grant Thornton LLP has audited the historical financial statements of Tumbleweed included or incorporated by reference in each of the Registration Statement, the Pricing Disclosure Package and the Prospectus and, to the knowledge of the Company and its subsidiaries, such financial statements and the related notes thereto present fairly in all material respects the financial position of Tumbleweed for the periods shown. Grant Thornton LLP has audited the historical financial statements of the GRP Assets included or incorporated by reference in each of the Registration Statement, the Pricing Disclosure Package and the Prospectus and, to the knowledge of the Company and its subsidiaries, such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6" w:right="339"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2"/>
          <w:szCs w:val="22"/>
          <w:color w:val="auto"/>
        </w:rPr>
        <w:t>statements and the related notes thereto present fairly in all material respects the financial position of the GRP Assets for the periods shown. The unaudited pro forma financial information and the related notes thereto included in each of the Registration Statement, the Pricing Disclosure Package and the Prospectus has been prepared in accordance with the Commission’s rules and guidance with respect to pro forma financial information, and the assumptions underlying such pro forma financial information are reasonable and are set forth in each of the Registration Statement, the Pricing Disclosure Package and the Prospectus. There are no financial statements that are required to be included or incorporated by reference in the Registration Statement, the Pricing Disclosure Package or the Prospectus that are not included or incorporated by reference as required. The interactive data in eXtensible Business Reporting Language included or incorporated by reference in each of the Registration Statement, the Pricing Disclosure Package and the Prospectus fairly presents the information called for in all material respects and is prepared in accordance with the Commission’s rules and guidelines applicable thereto.</w:t>
      </w:r>
    </w:p>
    <w:p>
      <w:pPr>
        <w:spacing w:after="0" w:line="183" w:lineRule="exact"/>
        <w:rPr>
          <w:sz w:val="20"/>
          <w:szCs w:val="20"/>
          <w:color w:val="auto"/>
        </w:rPr>
      </w:pPr>
    </w:p>
    <w:p>
      <w:pPr>
        <w:jc w:val="both"/>
        <w:ind w:firstLine="1304"/>
        <w:spacing w:after="0" w:line="249" w:lineRule="auto"/>
        <w:tabs>
          <w:tab w:leader="none" w:pos="195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Pricing Disclosure Package, since the end of the period covered by the latest audited financial statements included or incorporated by reference in the Pricing Disclosure Package, (i) there has been no change, nor any development or event involving a prospective change, in the condition (financial or otherwise), results of operations, business, properties or prospects of the Company and its subsidiaries, taken as a whole, that is material and adverse,</w:t>
      </w:r>
    </w:p>
    <w:p>
      <w:pPr>
        <w:spacing w:after="0" w:line="2" w:lineRule="exact"/>
        <w:rPr>
          <w:rFonts w:ascii="Times New Roman" w:cs="Times New Roman" w:eastAsia="Times New Roman" w:hAnsi="Times New Roman"/>
          <w:sz w:val="22"/>
          <w:szCs w:val="22"/>
          <w:color w:val="auto"/>
        </w:rPr>
      </w:pPr>
    </w:p>
    <w:p>
      <w:pPr>
        <w:jc w:val="both"/>
        <w:ind w:firstLine="8"/>
        <w:spacing w:after="0" w:line="248" w:lineRule="auto"/>
        <w:tabs>
          <w:tab w:leader="none" w:pos="33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dividend or distribution of any kind declared, paid or made by the Company on any Common Stock, (iii) there has been no material adverse change in the Common Stock, short-term indebtedness, long-term indebtedness, net current assets or net assets of the Company and its subsidiaries, (iv) there has been no material transaction entered into and there is no material transaction that is probable of being entered into by the Company or its subsidiaries other than transactions in the ordinary course of business and (v) there has been no obligation, direct or contingent, that is material to the Company and its subsidiaries taken as a whole, incurred by the Company and its subsidiaries, except obligations incurred in the ordinary course of business.</w:t>
      </w:r>
    </w:p>
    <w:p>
      <w:pPr>
        <w:spacing w:after="0" w:line="18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its subsidiaries is, and, after giving effect to the offering and sale of the Stock and the application of the proceeds thereof as described in the Pricing Disclosure Package, will be an “investment company” as defined in the Investment Company Act of 1940 (the “</w:t>
      </w:r>
      <w:r>
        <w:rPr>
          <w:rFonts w:ascii="Times New Roman" w:cs="Times New Roman" w:eastAsia="Times New Roman" w:hAnsi="Times New Roman"/>
          <w:sz w:val="22"/>
          <w:szCs w:val="22"/>
          <w:b w:val="1"/>
          <w:bCs w:val="1"/>
          <w:i w:val="1"/>
          <w:iCs w:val="1"/>
          <w:color w:val="auto"/>
        </w:rPr>
        <w:t>Investment Company Act</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are insured by insurers of recognized financial responsibility against such losses and risks and in such amounts as the Company reasonably believes are adequate for the conduct of their business. All such policies of insurance insuring the Company and its subsidiaries are in full force and effect. The Company and its subsidiaries are in compliance with the terms of such policies and instruments in all material respects; and there are no material claims by the Company and its subsidiaries under any such policy or instrument as to which any insurance company is denying liability or defending under a reservation of rights clause. None of the Company or its subsidiaries has any reason to believe that any of them will not be able to renew its existing insurance coverage as and when such coverage expires or to obtain similar coverage from similar insurers as may be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 w:name="page18"/>
    <w:bookmarkEnd w:id="17"/>
    <w:p>
      <w:pPr>
        <w:ind w:right="20"/>
        <w:spacing w:after="0" w:line="271" w:lineRule="auto"/>
        <w:rPr>
          <w:sz w:val="20"/>
          <w:szCs w:val="20"/>
          <w:color w:val="auto"/>
        </w:rPr>
      </w:pPr>
      <w:r>
        <w:rPr>
          <w:rFonts w:ascii="Times New Roman" w:cs="Times New Roman" w:eastAsia="Times New Roman" w:hAnsi="Times New Roman"/>
          <w:sz w:val="22"/>
          <w:szCs w:val="22"/>
          <w:color w:val="auto"/>
        </w:rPr>
        <w:t>continue its business at a cost that would not reasonably expected to have a Material Adverse Effect, except as disclosed in the Registration Statement and the Pricing Disclosure Package.</w:t>
      </w:r>
    </w:p>
    <w:p>
      <w:pPr>
        <w:spacing w:after="0" w:line="158" w:lineRule="exact"/>
        <w:rPr>
          <w:sz w:val="20"/>
          <w:szCs w:val="20"/>
          <w:color w:val="auto"/>
        </w:rPr>
      </w:pPr>
    </w:p>
    <w:p>
      <w:pPr>
        <w:jc w:val="both"/>
        <w:ind w:firstLine="1304"/>
        <w:spacing w:after="0" w:line="251" w:lineRule="auto"/>
        <w:tabs>
          <w:tab w:leader="none" w:pos="17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filed all federal, state, local and non-U.S. tax returns that are required to be filed or have requested extensions thereof (except in any case in which the failure so to file would not reasonably be expected to result in a Material Adverse Effect); and, except as set forth in the Pricing Disclosure Package, the Company and its subsidiaries have paid all taxes (including any assessments, fines or penalties) required to be paid by them, except for any such taxes, assessments, fines or penalties currently being contested in good faith or as would not reasonably be expected to, individually or in the aggregate, result in a Material Adverse Effect.</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any of the Company and its subsidiaries on the one hand, and the directors, officers, shareholders, customers or suppliers of the Company and its subsidiaries on the other hand, which is required to be described in the Pricing Disclosure Package which is not so described therein. The Prospectus will contain the same description of the matters set forth in the preceding sentence contained in the Pricing Disclosure Package.</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8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its subsidiaries or, to the knowledge of the Company and its subsidiaries, any director, officer, agent, employee or other person associated with or acting on behalf of the Company and its subsidiaries has (i) used any corporate funds for any unlawful contribution, gift, entertainment or other unlawful expense relating to political activity; (ii) made any direct or indirect unlawful payment or otherwise unlawfully provided anything of value to any foreign or domestic government official or employee, political party or official thereof, any candidate for political office and/or any other person while knowing that all or a portion of the payment will be offered, given or promised to any of the foregoing persons from corporate funds; (iii) violated or is in violation of any provision of U.S. Foreign Corrupt Practices Act of 1977 or other applicable anti-bribery or anti-corruption laws or regulations; or (iv) made any bribe, unlawful rebate, payoff, influence payment, kickback or other unlawful payment to any domestic government official or any foreign official or other foreign government employee. The Company and its subsidiaries have instituted, maintain and enforce policies and procedures designed to promote and ensure compliance with all applicable anti-bribery and anti-corruption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1304"/>
        <w:spacing w:after="0" w:line="250" w:lineRule="auto"/>
        <w:tabs>
          <w:tab w:leader="none" w:pos="188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and its subsidiaries are and have been conducted at all times in compliance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the anti-money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any of the Company and its subsidiaries with respect to the Anti-Money Laundering Laws is pending or, to the knowledge of the Company and its subsidiaries, threatened.</w:t>
      </w:r>
    </w:p>
    <w:p>
      <w:pPr>
        <w:spacing w:after="0" w:line="17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and its subsidiaries or, to the knowledge of the Company and its subsidiaries, any director, officer, agent, employee, affiliate or other person associated with or acting on behalf of the Company and its subsidiaries is currently subject to or the target of any sanctions administered or enforced by the U.S. government (including, without limitation, sanctions administered by the Office of Foreign Assets Control of the U.S. Department of the Treasury or the U.S. Department of State and including, without limitation, persons included on the “Specially Designated Nationals and Blocked Persons List”), the United Nations Security Council, the European Union, His Majesty’s Treasury, the Swiss Secretariat of Economic Affairs, the Hong Kong Monetary Authority, the Monetary Authority of Singapore or other relevant sanctions authority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nor are the Company and its subsidiaries located, organized or resident in a country or territory that is the subject or target of Sanctions, including, without limitation, Cuba, Iran, North Korea, Syria, the Crimea, Zaporizhzhia and Kherson regions of Ukraine, the so-called Donetsk People’s Republic and the so-called Luhansk People’s Republic or any other covered region of Ukraine identified pursuant to Executive Order 14065 (each a “</w:t>
      </w:r>
      <w:r>
        <w:rPr>
          <w:rFonts w:ascii="Times New Roman" w:cs="Times New Roman" w:eastAsia="Times New Roman" w:hAnsi="Times New Roman"/>
          <w:sz w:val="22"/>
          <w:szCs w:val="22"/>
          <w:b w:val="1"/>
          <w:bCs w:val="1"/>
          <w:i w:val="1"/>
          <w:iCs w:val="1"/>
          <w:color w:val="auto"/>
        </w:rPr>
        <w:t>Sanctioned Territory</w:t>
      </w:r>
      <w:r>
        <w:rPr>
          <w:rFonts w:ascii="Times New Roman" w:cs="Times New Roman" w:eastAsia="Times New Roman" w:hAnsi="Times New Roman"/>
          <w:sz w:val="22"/>
          <w:szCs w:val="22"/>
          <w:color w:val="auto"/>
        </w:rPr>
        <w:t>”); and the Company and its subsidiaries will not directly or indirectly use the proceeds of the offering, or lend, knowingly contribute or otherwise make available such proceeds to any subsidiary, joint venture partner or other person or entity (i) for the purpose of financing or facilitating the activities or business of any person that, at the time of such financing or facilitation, is the subject or target of Sanctions, (ii) to fund or facilitate any activities of or business in any Sanctioned Territory or (iii) in any other manner that will result in a violation by any person (including any person participating in the transaction, whether as underwriter, advisor, investor or otherwise) of Sanctions. The Company and its subsidiaries have not knowingly engaged in for the past ten years, are not now knowingly engaged in, and will not engage in, any dealings or transactions with any individual or entity, or in any country or territory, that at the time of the dealing or transaction, is or was the subject or target of Sanctions or with any Sanctioned Territory.</w:t>
      </w:r>
    </w:p>
    <w:p>
      <w:pPr>
        <w:spacing w:after="0" w:line="20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8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OpCo is not prohibited, directly or indirectly, from paying any distributions to the Company, from making any other distribution on such subsidiary’s equity interests, from repaying to the Company any loans or advances to such subsidiary from the Company or from transferring any of such subsidiary’s property or assets to the Company or any other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9" w:name="page20"/>
    <w:bookmarkEnd w:id="19"/>
    <w:p>
      <w:pPr>
        <w:jc w:val="both"/>
        <w:ind w:firstLine="1304"/>
        <w:spacing w:after="0" w:line="248" w:lineRule="auto"/>
        <w:tabs>
          <w:tab w:leader="none" w:pos="200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2"/>
          <w:szCs w:val="22"/>
          <w:b w:val="1"/>
          <w:bCs w:val="1"/>
          <w:i w:val="1"/>
          <w:iCs w:val="1"/>
          <w:color w:val="auto"/>
        </w:rPr>
        <w:t>IT Systems</w:t>
      </w:r>
      <w:r>
        <w:rPr>
          <w:rFonts w:ascii="Times New Roman" w:cs="Times New Roman" w:eastAsia="Times New Roman" w:hAnsi="Times New Roman"/>
          <w:sz w:val="22"/>
          <w:szCs w:val="22"/>
          <w:color w:val="auto"/>
        </w:rPr>
        <w:t>”) are adequate for, and operate and perform in all material respects as required in connection with, the operation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2"/>
          <w:szCs w:val="22"/>
          <w:b w:val="1"/>
          <w:bCs w:val="1"/>
          <w:i w:val="1"/>
          <w:iCs w:val="1"/>
          <w:color w:val="auto"/>
        </w:rPr>
        <w:t>Personal Data</w:t>
      </w:r>
      <w:r>
        <w:rPr>
          <w:rFonts w:ascii="Times New Roman" w:cs="Times New Roman" w:eastAsia="Times New Roman" w:hAnsi="Times New Roman"/>
          <w:sz w:val="22"/>
          <w:szCs w:val="22"/>
          <w:color w:val="auto"/>
        </w:rPr>
        <w:t>”)) used in connection with its business, and there have been no breaches, violations, outages or unauthorized uses of or accesses to the same, except for those that (i) have been remedied without material cost or liability or the duty to notify any other person and (ii) those that will not individually or in the aggregate result in a Material Adverse Effect,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Pricing Disclosure Package,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Act (collectively, “</w:t>
      </w:r>
      <w:r>
        <w:rPr>
          <w:rFonts w:ascii="Times New Roman" w:cs="Times New Roman" w:eastAsia="Times New Roman" w:hAnsi="Times New Roman"/>
          <w:sz w:val="22"/>
          <w:szCs w:val="22"/>
          <w:b w:val="1"/>
          <w:bCs w:val="1"/>
          <w:i w:val="1"/>
          <w:iCs w:val="1"/>
          <w:color w:val="auto"/>
        </w:rPr>
        <w:t>Registration Rights</w:t>
      </w:r>
      <w:r>
        <w:rPr>
          <w:rFonts w:ascii="Times New Roman" w:cs="Times New Roman" w:eastAsia="Times New Roman" w:hAnsi="Times New Roman"/>
          <w:sz w:val="22"/>
          <w:szCs w:val="22"/>
          <w:color w:val="auto"/>
        </w:rPr>
        <w:t>”), and any person to whom the Company has granted Registration Rights has agreed not to exercise such rights until after the expiration of the Lock-Up Period referred to in Section 5(a)(x) 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0" w:lineRule="exact"/>
        <w:rPr>
          <w:sz w:val="20"/>
          <w:szCs w:val="20"/>
          <w:color w:val="auto"/>
        </w:rPr>
      </w:pPr>
    </w:p>
    <w:p>
      <w:pPr>
        <w:jc w:val="both"/>
        <w:ind w:firstLine="1304"/>
        <w:spacing w:after="0" w:line="256" w:lineRule="auto"/>
        <w:tabs>
          <w:tab w:leader="none" w:pos="200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Agreement has been duly authorized, executed and delivered by, and, assuming the due authorization, execution and delivery thereof by the other parties thereto, is a valid and binding agreement of, the Company, enforceable in accordance with its terms. The Company has not received any notice of termination of the Acquisition Agreement from Tumbleweed, and has not received notice from Tumbleweed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0" w:name="page21"/>
    <w:bookmarkEnd w:id="2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Tumbleweed’s conditions to the closing of the transactions contemplated by the Acquisition Agreement will not be satisfied within the timeframe contemplated therein.</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Any certificate signed by any officer of the Company and delivered to the Representative or counsel for the Underwriters in connection with the offering of the Stock shall be deemed a representation and warranty by the Company, as to matters covered thereby, to each Underwriter.</w:t>
      </w:r>
    </w:p>
    <w:p>
      <w:pPr>
        <w:spacing w:after="0" w:line="163" w:lineRule="exact"/>
        <w:rPr>
          <w:sz w:val="20"/>
          <w:szCs w:val="20"/>
          <w:color w:val="auto"/>
        </w:rPr>
      </w:pPr>
    </w:p>
    <w:p>
      <w:pPr>
        <w:jc w:val="both"/>
        <w:ind w:firstLine="1304"/>
        <w:spacing w:after="0" w:line="252" w:lineRule="auto"/>
        <w:tabs>
          <w:tab w:leader="none" w:pos="19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the Stock by the Underwriters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 the basis of the representations, warranties and covenants contained in, and subject to the terms and conditions of, this Agreement, the Company agrees to issue and sell 10,000,000 shares of Firm Stock to the several Underwriters, as set forth on Schedule I, and each of the Underwriters, severally and not jointly, agrees to purchase from the Company the number of shares of Firm Stock set forth opposite that Underwriter’s name in Schedule I hereto. The respective purchase obligations of the Underwriters with respect to the Firm Stock shall be rounded among the Underwriters to avoid fractional Common Stock, as the Representative may determine.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addition, the Company grants to the Underwriters an option to purchase up to 1,500,000 additional shares of Option Stock, as set forth on Schedule I. Each Underwriter agrees, severally and not jointly, to purchase from the Company the number of shares of Option Stock (subject to such adjustments to eliminate fractional Common Stock as the Representative may determine) that bears the same proportion to the total number of shares of Option Stock to be sold on such Delivery Date as the number of shares of Firm Stock set forth in Schedule I hereto opposite the name of such Underwriter bears to the total number of shares of Firm Stock.</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purchase price payable by the Underwriters for the Firm Stock and any Option Stock is $41.4375 per share of Stock (the “</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The Company is not obligated to deliver any of the Firm Stock or Option Stock, as applicable, to be delivered on the applicable Delivery Date, except upon payment for all such Stock to be purchased on such Delivery Date as provided herein.</w:t>
      </w:r>
    </w:p>
    <w:p>
      <w:pPr>
        <w:spacing w:after="0" w:line="135" w:lineRule="exact"/>
        <w:rPr>
          <w:sz w:val="20"/>
          <w:szCs w:val="20"/>
          <w:color w:val="auto"/>
        </w:rPr>
      </w:pPr>
    </w:p>
    <w:p>
      <w:pPr>
        <w:ind w:firstLine="1304"/>
        <w:spacing w:after="0" w:line="271"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of Stock by the Underwriters</w:t>
      </w:r>
      <w:r>
        <w:rPr>
          <w:rFonts w:ascii="Times New Roman" w:cs="Times New Roman" w:eastAsia="Times New Roman" w:hAnsi="Times New Roman"/>
          <w:sz w:val="22"/>
          <w:szCs w:val="22"/>
          <w:color w:val="auto"/>
        </w:rPr>
        <w:t>. Upon authorization by the Underwriters of the release of the Firm Stock, the Underwriters propose to offer the Firm Stock for sale upon the terms and conditions to be set forth in the Prospectus.</w:t>
      </w:r>
    </w:p>
    <w:p>
      <w:pPr>
        <w:spacing w:after="0" w:line="15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and Payment for the Stock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Delivery of and payment for the Firm Stock shall be made at 10:00 a.m., New York City time, on September 13, 2024 or at such other date or place as shall be determined by agreement between the Representative and the Company. This date and time are sometimes referred to as the “</w:t>
      </w:r>
      <w:r>
        <w:rPr>
          <w:rFonts w:ascii="Times New Roman" w:cs="Times New Roman" w:eastAsia="Times New Roman" w:hAnsi="Times New Roman"/>
          <w:sz w:val="22"/>
          <w:szCs w:val="22"/>
          <w:b w:val="1"/>
          <w:bCs w:val="1"/>
          <w:i w:val="1"/>
          <w:iCs w:val="1"/>
          <w:color w:val="auto"/>
        </w:rPr>
        <w:t>Initial Delivery Date</w:t>
      </w:r>
      <w:r>
        <w:rPr>
          <w:rFonts w:ascii="Times New Roman" w:cs="Times New Roman" w:eastAsia="Times New Roman" w:hAnsi="Times New Roman"/>
          <w:sz w:val="22"/>
          <w:szCs w:val="22"/>
          <w:color w:val="auto"/>
        </w:rPr>
        <w:t>.” Delivery of the Firm Stock shall be made to the Representative for the account of each Underwriter against payment by the several Underwriters through the Representative of the respective aggregate purchase prices of the Firm Stock being sold by the Company to or upon the order of the Company by wire transfer in immediately available funds to the accounts specified by the Company. Time shall be of the essence, and delivery at the time and place specified pursuant to this Agreement is a further condition of the obligation of each Underwriter hereunder.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Company shall deliver the Firm Stock through the facilities of DTC unless the Representative shall otherwise instruct.</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The option granted in Section 2 will expire 30 days after the date of this Agreement and may be exercised in whole or from time to time in part by written notice being given to the Company by the 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date falls on a day that is not a business day, the option granted in Section 2 will expire on the next succeeding business day. Such notice shall set forth the aggregate number of Option Stock as to which the option is being exercised, the names in which the Option Stock are to be registered, the denominations in which the Option Stock are to be issued and the date and time, as determined by the Representative, when the Option Stock are to be delivered;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date and time shall not be earlier than the Initial Delivery Date nor earlier than the first business day after the date on which the option shall have been exercised nor later than the fifth business day after the date on which the option shall have been exercised. Each date and time any Option Stock are delivered is sometimes referred to as an “</w:t>
      </w:r>
      <w:r>
        <w:rPr>
          <w:rFonts w:ascii="Times New Roman" w:cs="Times New Roman" w:eastAsia="Times New Roman" w:hAnsi="Times New Roman"/>
          <w:sz w:val="22"/>
          <w:szCs w:val="22"/>
          <w:b w:val="1"/>
          <w:bCs w:val="1"/>
          <w:i w:val="1"/>
          <w:iCs w:val="1"/>
          <w:color w:val="auto"/>
        </w:rPr>
        <w:t>Option Stock Delivery Date</w:t>
      </w:r>
      <w:r>
        <w:rPr>
          <w:rFonts w:ascii="Times New Roman" w:cs="Times New Roman" w:eastAsia="Times New Roman" w:hAnsi="Times New Roman"/>
          <w:sz w:val="22"/>
          <w:szCs w:val="22"/>
          <w:color w:val="auto"/>
        </w:rPr>
        <w:t>,” and the Initial Delivery Date and any Option Stock Delivery Date are sometimes each referred to as a “</w:t>
      </w:r>
      <w:r>
        <w:rPr>
          <w:rFonts w:ascii="Times New Roman" w:cs="Times New Roman" w:eastAsia="Times New Roman" w:hAnsi="Times New Roman"/>
          <w:sz w:val="22"/>
          <w:szCs w:val="22"/>
          <w:b w:val="1"/>
          <w:bCs w:val="1"/>
          <w:i w:val="1"/>
          <w:iCs w:val="1"/>
          <w:color w:val="auto"/>
        </w:rPr>
        <w:t>Delivery Date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Delivery of the Option Stock by the Company and payment for the Option Stock by the several Underwriters through the Representative shall be made at 10:00 a.m., New York City time, on the date specified in the corresponding notice described in the preceding paragraph or at such other date or place as shall be determined by agreement between the Representative and the Company. On each Option Stock Delivery Date, the Company shall deliver or cause to be delivered the Option Stock to the Representative for the account of each Underwriter against payment by the several Underwriters through the Representative of the aggregate purchase price of the Option Stock being sold by the Company to or upon the order of the Company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Stock through the facilities of DTC unless the Representative shall otherwise instruct.</w:t>
      </w:r>
    </w:p>
    <w:p>
      <w:pPr>
        <w:spacing w:after="0" w:line="179"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Agreements</w:t>
      </w:r>
      <w:r>
        <w:rPr>
          <w:rFonts w:ascii="Times New Roman" w:cs="Times New Roman" w:eastAsia="Times New Roman" w:hAnsi="Times New Roman"/>
          <w:sz w:val="22"/>
          <w:szCs w:val="22"/>
          <w:i w:val="1"/>
          <w:iCs w:val="1"/>
          <w:color w:val="auto"/>
        </w:rPr>
        <w:t>.</w:t>
      </w:r>
    </w:p>
    <w:p>
      <w:pPr>
        <w:spacing w:after="0" w:line="220" w:lineRule="exact"/>
        <w:rPr>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Further Agreements of the Company</w:t>
      </w:r>
      <w:r>
        <w:rPr>
          <w:rFonts w:ascii="Times New Roman" w:cs="Times New Roman" w:eastAsia="Times New Roman" w:hAnsi="Times New Roman"/>
          <w:sz w:val="22"/>
          <w:szCs w:val="22"/>
          <w:color w:val="auto"/>
        </w:rPr>
        <w:t>. The Company covenants and agrees with the Underwriters:</w:t>
      </w:r>
    </w:p>
    <w:p>
      <w:pPr>
        <w:spacing w:after="0" w:line="223" w:lineRule="exact"/>
        <w:rPr>
          <w:rFonts w:ascii="Times New Roman" w:cs="Times New Roman" w:eastAsia="Times New Roman" w:hAnsi="Times New Roman"/>
          <w:sz w:val="22"/>
          <w:szCs w:val="22"/>
          <w:color w:val="auto"/>
        </w:rPr>
      </w:pPr>
    </w:p>
    <w:p>
      <w:pPr>
        <w:jc w:val="both"/>
        <w:ind w:left="660" w:firstLine="1088"/>
        <w:spacing w:after="0" w:line="264" w:lineRule="auto"/>
        <w:tabs>
          <w:tab w:leader="none" w:pos="201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prepare the Prospectus in a form approved by the Representative and to file such Prospectus pursuant to Rule 424(b) under the Securities Act prior to the earlier of the Initial Delivery Date and the Commission’s close of business on the second business day following the execution and delivery of this Agreement; to make no further amendment or any supplement to the Registration Statement or the Prospectus prior to each Delivery Date except as provided herein; to advise the Representative, promptly after it receives notice thereof, of the time when any amendment or supplement to the Registration Statement or the Prospectus has been filed and to furnish the Representative with copies thereof; to advise the Representative, promptly after it receives notice thereof, of the issuance by the Commission of any stop order or of any order preventing or suspending the use of the Registration Statement, the Prospectus, any Issuer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21"/>
          <w:szCs w:val="21"/>
          <w:color w:val="auto"/>
        </w:rPr>
        <w:t>Writing Prospectus, or any Written Testing-the-Waters Communication of the suspension of the qualification of the Stock for offering or sale in any jurisdiction, of the initiation or threatening of any proceeding or examination for any such purpose, no Section 8A proceedings under the Securities Act, or of any request by the Commission for the amending or supplementing of the Registration Statement, the Prospectus, any Issuer Free Writing Prospectus, or any Written Testing-the-Waters Communication or for additional information; and, in the event of the issuance of any stop order or of any order preventing or suspending the use of the Prospectus, any Issuer Free Writing Prospectus, or any Written Testing-the-Waters Communication or suspending any such qualification, to use promptly their best efforts to obtain its withdrawal.</w:t>
      </w:r>
    </w:p>
    <w:p>
      <w:pPr>
        <w:spacing w:after="0" w:line="173" w:lineRule="exact"/>
        <w:rPr>
          <w:sz w:val="20"/>
          <w:szCs w:val="20"/>
          <w:color w:val="auto"/>
        </w:rPr>
      </w:pPr>
    </w:p>
    <w:p>
      <w:pPr>
        <w:jc w:val="both"/>
        <w:ind w:firstLine="1028"/>
        <w:spacing w:after="0" w:line="263" w:lineRule="auto"/>
        <w:tabs>
          <w:tab w:leader="none" w:pos="13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furnish promptly to the Representative and to counsel for the Underwriters a signed copy of the Registration Statement as originally filed with the Commission, and each amendment thereto filed with the Commission, including all consents and exhibits filed therewith.</w:t>
      </w:r>
    </w:p>
    <w:p>
      <w:pPr>
        <w:spacing w:after="0" w:line="167" w:lineRule="exact"/>
        <w:rPr>
          <w:rFonts w:ascii="Times New Roman" w:cs="Times New Roman" w:eastAsia="Times New Roman" w:hAnsi="Times New Roman"/>
          <w:sz w:val="22"/>
          <w:szCs w:val="22"/>
          <w:color w:val="auto"/>
        </w:rPr>
      </w:pPr>
    </w:p>
    <w:p>
      <w:pPr>
        <w:jc w:val="both"/>
        <w:ind w:firstLine="968"/>
        <w:spacing w:after="0" w:line="247" w:lineRule="auto"/>
        <w:tabs>
          <w:tab w:leader="none" w:pos="135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deliver promptly to the Representative such number of the following documents as the Representative shall reasonably request: (A) conformed copies of the Registration Statement as originally filed with the Commission and each amendment thereto (in each case excluding exhibits other than this Agreement), (B) each Preliminary Prospectus, the Prospectus and any amended or supplemented Prospectus, (C) each Issuer Free Writing Prospectus, (D) any Written Testing-the-Waters Communication, and (E) any document incorporated by reference in any Preliminary Prospectus or the Prospectus; and, if the delivery of a prospectus is required in connection with the offering or sale of the Stock or any other securities relating thereto and if at such time any event shall have occurred within the Prospectus Delivery Period as a result of which the Prospectus, the Pricing Disclosure Package, Issuer Free Writing Prospectus, or Written Testing-the-Waters Communication as then amended or supplemented would include an untrue statement of a material fact or omit to state any material fact necessary in order to make the statements therein, in the light of the circumstances under which they were made when such Prospectus, the Pricing Disclosure Package, Issuer Free Writing Prospectus, or Written Testing-the-Waters Communication is delivered, not misleading, or, if for any other reason it shall be necessary to amend or supplement the Prospectus, the Pricing Disclosure Package, Issuer Free Writing Prospectus, or Written Testing-the-Waters Communication in order to comply with the Securities Act, to notify the Representative and, upon request, to file such document and to prepare and furnish without charge to each Underwriter and to any dealer in securities as many copies as the Representative may from time to time reasonably request of an amended or supplemented Prospectus, the Pricing Disclosure Package, Issuer Free Writing Prospectus, or Written Testing-the-Waters Communication that will correct such statement or omission or effect such compliance.</w:t>
      </w:r>
    </w:p>
    <w:p>
      <w:pPr>
        <w:spacing w:after="0" w:line="187" w:lineRule="exact"/>
        <w:rPr>
          <w:rFonts w:ascii="Times New Roman" w:cs="Times New Roman" w:eastAsia="Times New Roman" w:hAnsi="Times New Roman"/>
          <w:sz w:val="22"/>
          <w:szCs w:val="22"/>
          <w:color w:val="auto"/>
        </w:rPr>
      </w:pPr>
    </w:p>
    <w:p>
      <w:pPr>
        <w:jc w:val="both"/>
        <w:ind w:firstLine="980"/>
        <w:spacing w:after="0" w:line="263" w:lineRule="auto"/>
        <w:tabs>
          <w:tab w:leader="none" w:pos="135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promptly with the Commission any amendment or supplement to the Registration Statement or the Prospectus that may, in the judgment of the Company or the Representative, be required by the Securities Act or requested by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80"/>
          </w:cols>
          <w:pgMar w:left="980" w:top="1422" w:right="339" w:bottom="1440" w:gutter="0" w:footer="0" w:header="0"/>
        </w:sectPr>
      </w:pPr>
    </w:p>
    <w:bookmarkStart w:id="23" w:name="page24"/>
    <w:bookmarkEnd w:id="23"/>
    <w:p>
      <w:pPr>
        <w:jc w:val="both"/>
        <w:ind w:left="-460" w:firstLine="1040"/>
        <w:spacing w:after="0" w:line="256" w:lineRule="auto"/>
        <w:tabs>
          <w:tab w:leader="none" w:pos="91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 and counsel for the Underwriters and obtain the consent of the Representative to the filing.</w:t>
      </w:r>
    </w:p>
    <w:p>
      <w:pPr>
        <w:spacing w:after="0" w:line="176" w:lineRule="exact"/>
        <w:rPr>
          <w:rFonts w:ascii="Times New Roman" w:cs="Times New Roman" w:eastAsia="Times New Roman" w:hAnsi="Times New Roman"/>
          <w:sz w:val="22"/>
          <w:szCs w:val="22"/>
          <w:color w:val="auto"/>
        </w:rPr>
      </w:pPr>
    </w:p>
    <w:p>
      <w:pPr>
        <w:ind w:left="-460" w:right="20" w:firstLine="980"/>
        <w:spacing w:after="0" w:line="271" w:lineRule="auto"/>
        <w:tabs>
          <w:tab w:leader="none" w:pos="90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make any offer relating to the Stock that would constitute an Issuer Free Writing Prospectus or Written Testing-the-Waters Communication without the prior written consent of the Representative.</w:t>
      </w:r>
    </w:p>
    <w:p>
      <w:pPr>
        <w:spacing w:after="0" w:line="157" w:lineRule="exact"/>
        <w:rPr>
          <w:rFonts w:ascii="Times New Roman" w:cs="Times New Roman" w:eastAsia="Times New Roman" w:hAnsi="Times New Roman"/>
          <w:sz w:val="22"/>
          <w:szCs w:val="22"/>
          <w:color w:val="auto"/>
        </w:rPr>
      </w:pPr>
    </w:p>
    <w:p>
      <w:pPr>
        <w:jc w:val="both"/>
        <w:ind w:left="-460" w:firstLine="920"/>
        <w:spacing w:after="0" w:line="249" w:lineRule="auto"/>
        <w:tabs>
          <w:tab w:leader="none" w:pos="8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all applicable requirements of Rule 433 under the Securities Act with respect to any Issuer Free Writing Prospectus. If at any time after the date hereof any event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 and, upon request, to file such document and to prepare and furnish without charge to each Underwriter as many copies as the Representative may from time to time reasonably request of an amended or supplemented Issuer Free Writing Prospectus that will correct such conflict, statement or omission or effect such compliance.</w:t>
      </w:r>
    </w:p>
    <w:p>
      <w:pPr>
        <w:spacing w:after="0" w:line="183" w:lineRule="exact"/>
        <w:rPr>
          <w:rFonts w:ascii="Times New Roman" w:cs="Times New Roman" w:eastAsia="Times New Roman" w:hAnsi="Times New Roman"/>
          <w:sz w:val="22"/>
          <w:szCs w:val="22"/>
          <w:color w:val="auto"/>
        </w:rPr>
      </w:pPr>
    </w:p>
    <w:p>
      <w:pPr>
        <w:jc w:val="both"/>
        <w:ind w:left="-460" w:firstLine="860"/>
        <w:spacing w:after="0" w:line="251" w:lineRule="auto"/>
        <w:tabs>
          <w:tab w:leader="none" w:pos="90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the Effective Date (it being understood that the Company shall have until at least 405 days or, if the fourth quarter following the fiscal quarter that includes the Effective Date is the last fiscal quarter of the Company’s fiscal year, 440 days after the end of the Company’s current fiscal quarter), to make generally available to the Company’s security holders and to deliver to the Representative an earnings statement of the Company (which need not be audited) complying with Section 11(a) of the Securities Act and the rules and regulations thereunder (including, at the option of the Company, Rule 158).</w:t>
      </w:r>
    </w:p>
    <w:p>
      <w:pPr>
        <w:spacing w:after="0" w:line="181" w:lineRule="exact"/>
        <w:rPr>
          <w:rFonts w:ascii="Times New Roman" w:cs="Times New Roman" w:eastAsia="Times New Roman" w:hAnsi="Times New Roman"/>
          <w:sz w:val="22"/>
          <w:szCs w:val="22"/>
          <w:color w:val="auto"/>
        </w:rPr>
      </w:pPr>
    </w:p>
    <w:p>
      <w:pPr>
        <w:jc w:val="both"/>
        <w:ind w:left="-460" w:firstLine="980"/>
        <w:spacing w:after="0" w:line="250" w:lineRule="auto"/>
        <w:tabs>
          <w:tab w:leader="none" w:pos="8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from time to time to take such action as the Representative may reasonably request to qualify the Stock for offering and sale under the securities or Blue Sky laws of such jurisdictions as the Representative may request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connection therewith the Company shall not be required to (i) qualify as a foreign entity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80" w:lineRule="exact"/>
        <w:rPr>
          <w:rFonts w:ascii="Times New Roman" w:cs="Times New Roman" w:eastAsia="Times New Roman" w:hAnsi="Times New Roman"/>
          <w:sz w:val="22"/>
          <w:szCs w:val="22"/>
          <w:color w:val="auto"/>
        </w:rPr>
      </w:pPr>
    </w:p>
    <w:p>
      <w:pPr>
        <w:jc w:val="both"/>
        <w:ind w:left="-460" w:firstLine="1040"/>
        <w:spacing w:after="0" w:line="234" w:lineRule="auto"/>
        <w:tabs>
          <w:tab w:leader="none" w:pos="90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commencing on the date hereof and ending on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date of the Prospectus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not to, directly or indirectly, (A) other than in connection with the Offering and the transactions contemplated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20"/>
          </w:cols>
          <w:pgMar w:left="1440" w:top="1422" w:right="339" w:bottom="1440" w:gutter="0" w:footer="0" w:header="0"/>
        </w:sectPr>
      </w:pPr>
    </w:p>
    <w:bookmarkStart w:id="24" w:name="page25"/>
    <w:bookmarkEnd w:id="24"/>
    <w:p>
      <w:pPr>
        <w:jc w:val="both"/>
        <w:spacing w:after="0" w:line="247" w:lineRule="auto"/>
        <w:rPr>
          <w:sz w:val="20"/>
          <w:szCs w:val="20"/>
          <w:color w:val="auto"/>
        </w:rPr>
      </w:pPr>
      <w:r>
        <w:rPr>
          <w:rFonts w:ascii="Times New Roman" w:cs="Times New Roman" w:eastAsia="Times New Roman" w:hAnsi="Times New Roman"/>
          <w:sz w:val="22"/>
          <w:szCs w:val="22"/>
          <w:color w:val="auto"/>
        </w:rPr>
        <w:t>Acquisition Agreement, offer for sale, sell, pledge, lend, or otherwise dispose of (or enter into any transaction or device that is designed to, or could be expected to, result in the disposition by any person at any time in the future of) (the foregoing, collectively, to “Sell”) any Common Stock or securities convertible into or exercisable or exchangeable for Common Stock (other than the Stock or Common Stock issued pursuant to employee benefit plans, qualified option plans or other employee compensation plans existing on the date hereof and any exchange or redemption at any time or from time to time by the Sponsor of any and all Class B Stock and OpCo Units held by the Sponsor for Common Stock), (B) enter into any swap or other derivatives transaction that transfers to another, in whole or in part, any of the economic benefits or risks of ownership of such Common Stock, whether any such transaction described in clause (A) or (B) above is to be settled by delivery of Common Stock or other securities, in cash or otherwise, (C) file or cause to be filed a registration statement, including any amendments or supplements thereto, with respect to the registration of any Common Stock or securities convertible, exercisable or exchangeable into Common Stock or any other securities of the Company (other than the Registration Statement, the registration statement contemplated by the Acquisition Agreement (the “</w:t>
      </w:r>
      <w:r>
        <w:rPr>
          <w:rFonts w:ascii="Times New Roman" w:cs="Times New Roman" w:eastAsia="Times New Roman" w:hAnsi="Times New Roman"/>
          <w:sz w:val="22"/>
          <w:szCs w:val="22"/>
          <w:b w:val="1"/>
          <w:bCs w:val="1"/>
          <w:i w:val="1"/>
          <w:iCs w:val="1"/>
          <w:color w:val="auto"/>
        </w:rPr>
        <w:t>Resale Registration Statement</w:t>
      </w:r>
      <w:r>
        <w:rPr>
          <w:rFonts w:ascii="Times New Roman" w:cs="Times New Roman" w:eastAsia="Times New Roman" w:hAnsi="Times New Roman"/>
          <w:sz w:val="22"/>
          <w:szCs w:val="22"/>
          <w:color w:val="auto"/>
        </w:rPr>
        <w:t>”), provided no sales shall be made under the Resale Registration Statement during the Lock-Up Period, and any registration statement on Form S-8), (D) provide any waiver or amendment under the Acquisition Agreement to permit, or otherwise permit, Tumbleweed to Sell any of the Common Stock issued to it pursuant to the Acquisition Agreement, or (E) publicly disclose the intention to do any of the foregoing (other than any disclosure related to the Offering), in each case without the prior written consent of the Representative, on behalf of the Underwriters, and to cause each officer and director of the Company set forth on Schedule III hereto to furnish to the Representative, on behalf of the Underwriters, prior to the Initial Delivery Date, a letter or letters, substantially in the form of Exhibit A hereto (the “</w:t>
      </w:r>
      <w:r>
        <w:rPr>
          <w:rFonts w:ascii="Times New Roman" w:cs="Times New Roman" w:eastAsia="Times New Roman" w:hAnsi="Times New Roman"/>
          <w:sz w:val="22"/>
          <w:szCs w:val="22"/>
          <w:b w:val="1"/>
          <w:bCs w:val="1"/>
          <w:i w:val="1"/>
          <w:iCs w:val="1"/>
          <w:color w:val="auto"/>
        </w:rPr>
        <w:t>Lock-Up Agreements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40" w:hanging="360"/>
        <w:spacing w:after="0"/>
        <w:tabs>
          <w:tab w:leader="none" w:pos="13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cause the Stock, subject to notice of issuance, to be listed on The Nasdaq Global Select Market.</w:t>
      </w:r>
    </w:p>
    <w:p>
      <w:pPr>
        <w:spacing w:after="0" w:line="219" w:lineRule="exact"/>
        <w:rPr>
          <w:rFonts w:ascii="Times New Roman" w:cs="Times New Roman" w:eastAsia="Times New Roman" w:hAnsi="Times New Roman"/>
          <w:sz w:val="22"/>
          <w:szCs w:val="22"/>
          <w:color w:val="auto"/>
        </w:rPr>
      </w:pPr>
    </w:p>
    <w:p>
      <w:pPr>
        <w:ind w:firstLine="920"/>
        <w:spacing w:after="0" w:line="271" w:lineRule="auto"/>
        <w:tabs>
          <w:tab w:leader="none" w:pos="135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use the net proceeds received by it from the sale of the Stock pursuant to this Agreement in the manner specified in the Preliminary Prospectus under the caption “Use of Proceeds”.</w:t>
      </w:r>
    </w:p>
    <w:p>
      <w:pPr>
        <w:spacing w:after="0" w:line="157" w:lineRule="exact"/>
        <w:rPr>
          <w:rFonts w:ascii="Times New Roman" w:cs="Times New Roman" w:eastAsia="Times New Roman" w:hAnsi="Times New Roman"/>
          <w:sz w:val="22"/>
          <w:szCs w:val="22"/>
          <w:color w:val="auto"/>
        </w:rPr>
      </w:pPr>
    </w:p>
    <w:p>
      <w:pPr>
        <w:jc w:val="both"/>
        <w:ind w:firstLine="860"/>
        <w:spacing w:after="0" w:line="256" w:lineRule="auto"/>
        <w:tabs>
          <w:tab w:leader="none" w:pos="13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w:t>
      </w:r>
    </w:p>
    <w:p>
      <w:pPr>
        <w:spacing w:after="0" w:line="176" w:lineRule="exact"/>
        <w:rPr>
          <w:rFonts w:ascii="Times New Roman" w:cs="Times New Roman" w:eastAsia="Times New Roman" w:hAnsi="Times New Roman"/>
          <w:sz w:val="22"/>
          <w:szCs w:val="22"/>
          <w:color w:val="auto"/>
        </w:rPr>
      </w:pPr>
    </w:p>
    <w:p>
      <w:pPr>
        <w:jc w:val="both"/>
        <w:ind w:right="20" w:firstLine="872"/>
        <w:spacing w:after="0" w:line="257" w:lineRule="auto"/>
        <w:tabs>
          <w:tab w:leader="none" w:pos="135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by Rule 430B(h) under the Securities Act, to prepare a form of prospectus in a form approved by the Representative and to file such form of prospectus pursuant to Rule 424(b) under the Act not later than may be required by Rule 424(b) under the Act; and to make no further amendment or supplement to such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580"/>
          </w:cols>
          <w:pgMar w:left="980" w:top="142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prospectus which shall be disapproved by the Representative promptly after reasonable notice thereof;</w:t>
      </w:r>
    </w:p>
    <w:p>
      <w:pPr>
        <w:spacing w:after="0" w:line="220" w:lineRule="exact"/>
        <w:rPr>
          <w:sz w:val="20"/>
          <w:szCs w:val="20"/>
          <w:color w:val="auto"/>
        </w:rPr>
      </w:pPr>
    </w:p>
    <w:p>
      <w:pPr>
        <w:ind w:left="2000" w:hanging="408"/>
        <w:spacing w:after="0"/>
        <w:tabs>
          <w:tab w:leader="none" w:pos="200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the required Commission filing fees relating to the Stock within the time required by Rule 456(b)</w:t>
      </w:r>
    </w:p>
    <w:p>
      <w:pPr>
        <w:spacing w:after="0" w:line="27" w:lineRule="exact"/>
        <w:rPr>
          <w:rFonts w:ascii="Times New Roman" w:cs="Times New Roman" w:eastAsia="Times New Roman" w:hAnsi="Times New Roman"/>
          <w:sz w:val="22"/>
          <w:szCs w:val="22"/>
          <w:color w:val="auto"/>
        </w:rPr>
      </w:pPr>
    </w:p>
    <w:p>
      <w:pPr>
        <w:ind w:left="660" w:hanging="4"/>
        <w:spacing w:after="0" w:line="261" w:lineRule="auto"/>
        <w:tabs>
          <w:tab w:leader="none" w:pos="9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Securities Act without regard to the proviso therein and otherwise in accordance with Rules 456(b) and 457(r) under the Securities Act;</w:t>
      </w:r>
    </w:p>
    <w:p>
      <w:pPr>
        <w:spacing w:after="0" w:line="168" w:lineRule="exact"/>
        <w:rPr>
          <w:rFonts w:ascii="Times New Roman" w:cs="Times New Roman" w:eastAsia="Times New Roman" w:hAnsi="Times New Roman"/>
          <w:sz w:val="22"/>
          <w:szCs w:val="22"/>
          <w:color w:val="auto"/>
        </w:rPr>
      </w:pPr>
    </w:p>
    <w:p>
      <w:pPr>
        <w:jc w:val="both"/>
        <w:ind w:left="660" w:firstLine="872"/>
        <w:spacing w:after="0" w:line="257" w:lineRule="auto"/>
        <w:tabs>
          <w:tab w:leader="none" w:pos="2037"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72" w:lineRule="exact"/>
        <w:rPr>
          <w:rFonts w:ascii="Times New Roman" w:cs="Times New Roman" w:eastAsia="Times New Roman" w:hAnsi="Times New Roman"/>
          <w:sz w:val="22"/>
          <w:szCs w:val="22"/>
          <w:color w:val="auto"/>
        </w:rPr>
      </w:pPr>
    </w:p>
    <w:p>
      <w:pPr>
        <w:jc w:val="both"/>
        <w:ind w:left="660" w:firstLine="812"/>
        <w:spacing w:after="0" w:line="263" w:lineRule="auto"/>
        <w:tabs>
          <w:tab w:leader="none" w:pos="2024"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do and perform all things required or necessary to be done and performed under this Agreement by it prior to each Delivery Date, and to satisfy all conditions precedent to the Underwriters’ obligations hereunder to purchase the Stock.</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Underwriter agrees that it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22"/>
          <w:szCs w:val="22"/>
          <w:b w:val="1"/>
          <w:bCs w:val="1"/>
          <w:i w:val="1"/>
          <w:iCs w:val="1"/>
          <w:color w:val="auto"/>
        </w:rPr>
        <w:t>Permitted Issuer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76" w:lineRule="exact"/>
        <w:rPr>
          <w:sz w:val="20"/>
          <w:szCs w:val="20"/>
          <w:color w:val="auto"/>
        </w:rPr>
      </w:pPr>
    </w:p>
    <w:p>
      <w:pPr>
        <w:jc w:val="both"/>
        <w:ind w:firstLine="1304"/>
        <w:spacing w:after="0" w:line="259" w:lineRule="auto"/>
        <w:tabs>
          <w:tab w:leader="none" w:pos="194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Company agrees, whether or not the transactions contemplated by this Agreement are consummated or this Agreement is terminated, to pay all expenses, 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and any amendment or supplement thereto; (c) the distribution of the Registration Statement (including any exhibits thereto), any Preliminary Prospectus, the Prospectus, any Issuer Free Writing Prospectus, and any amendment or supplement thereto, or any document incorporated by reference therein, all as provided in this Agreement; (d) the production and distribution of this Agreement, and any supplementary agreement, and any other related documents in connection with the offering, purchase, sale and delivery of the Stock; (e) any required review by FINRA of the terms of sale of the Stock (including related fees and expenses of counsel to the Underwriters in an amount that is not greater than $20,000); (f) the inclusion of the Stock on The Nasdaq Global Select Market;</w:t>
      </w:r>
    </w:p>
    <w:p>
      <w:pPr>
        <w:spacing w:after="0" w:line="9" w:lineRule="exact"/>
        <w:rPr>
          <w:rFonts w:ascii="Times New Roman" w:cs="Times New Roman" w:eastAsia="Times New Roman" w:hAnsi="Times New Roman"/>
          <w:sz w:val="21"/>
          <w:szCs w:val="21"/>
          <w:color w:val="auto"/>
        </w:rPr>
      </w:pPr>
    </w:p>
    <w:p>
      <w:pPr>
        <w:ind w:firstLine="8"/>
        <w:spacing w:after="0" w:line="248" w:lineRule="auto"/>
        <w:tabs>
          <w:tab w:leader="none" w:pos="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qualification of the Stock under the securities laws of the several jurisdictions as provided in Section 5(a)(ix) and the preparation, printing and distribution of a Blue Sky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(including related fees and expenses of counsel to the Underwriters); (h) the preparation, printing and distribution of one or more versions of the Preliminary Prospectus and the Prospectus for distribution in Canada (including related fees and expenses of Canadian counsel to the Underwriters); (i) the investor presentations on any “road show,” undertaken in connection with the marketing of the Stock, including, without limitation, expenses associated with any electronic road show, travel and lodging expenses of the representatives and officers of the Company; and (j) all other costs and expenses incident to the performance of the obligations of the Company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as provided in this Section 6 and in Section 11, the Underwriters shall pay their own costs and expenses, including the costs and expenses of their counsel, any transfer taxes on the Stock which they may sell, the expenses of advertising any offering of the Stock made by the Underwriters and the transportation and other expenses incurred by the Underwriters on their own behalf in connection with presentations to prospective purchasers of the Stock.</w:t>
      </w:r>
    </w:p>
    <w:p>
      <w:pPr>
        <w:spacing w:after="0" w:line="183" w:lineRule="exact"/>
        <w:rPr>
          <w:sz w:val="20"/>
          <w:szCs w:val="20"/>
          <w:color w:val="auto"/>
        </w:rPr>
      </w:pPr>
    </w:p>
    <w:p>
      <w:pPr>
        <w:jc w:val="both"/>
        <w:ind w:firstLine="1304"/>
        <w:spacing w:after="0" w:line="252"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Underwriters’ Obligations</w:t>
      </w:r>
      <w:r>
        <w:rPr>
          <w:rFonts w:ascii="Times New Roman" w:cs="Times New Roman" w:eastAsia="Times New Roman" w:hAnsi="Times New Roman"/>
          <w:sz w:val="22"/>
          <w:szCs w:val="22"/>
          <w:color w:val="auto"/>
        </w:rPr>
        <w:t>. The obligations of the Underwriters hereunder are subject to the accuracy, when made and on the date hereof, of the representations and warranties of the Company and its subsidiaries contained herein, to the performance by the Company and its subsidiaries of their respective obligations hereunder, and to each of the following additional terms and conditions:</w:t>
      </w:r>
    </w:p>
    <w:p>
      <w:pPr>
        <w:spacing w:after="0" w:line="193" w:lineRule="exact"/>
        <w:rPr>
          <w:sz w:val="20"/>
          <w:szCs w:val="20"/>
          <w:color w:val="auto"/>
        </w:rPr>
      </w:pPr>
    </w:p>
    <w:p>
      <w:pPr>
        <w:jc w:val="both"/>
        <w:ind w:left="660" w:firstLine="644"/>
        <w:spacing w:after="0" w:line="248" w:lineRule="auto"/>
        <w:tabs>
          <w:tab w:leader="none" w:pos="195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no Section 8A proceedings under the Exchange Act,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not have discovered and disclosed to the Company on or prior to each Delivery Date that the Registration Statement, the Prospectus or the Pricing Disclosure Package, or any amendment or supplement thereto, contains an untrue statement of a fact which, in the opinion of Latham &amp; Watkins LLP, counsel for the Underwriters, is material or omits to state a fact which, in the opinion of such counsel, is material and is required to be stated therein or is necessary to make the statements therein not misleading.</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proceedings and other legal matters incident to the authorization, form and validity of this Agreement, the Stock,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counsel all documents and information that they may reasonably request to enable them to pass upon such matters.</w:t>
      </w:r>
    </w:p>
    <w:p>
      <w:pPr>
        <w:spacing w:after="0" w:line="220" w:lineRule="exact"/>
        <w:rPr>
          <w:sz w:val="20"/>
          <w:szCs w:val="20"/>
          <w:color w:val="auto"/>
        </w:rPr>
      </w:pPr>
    </w:p>
    <w:p>
      <w:pPr>
        <w:jc w:val="both"/>
        <w:ind w:firstLine="644"/>
        <w:spacing w:after="0" w:line="263"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Akin Gump Strauss Hauer &amp; Feld LLP shall have furnished to the Representative its written opinion, as counsel to the Company, addressed to the Underwriters and dated the applicable Delivery Date, in form and substance reasonably satisfactory to the Representative.</w:t>
      </w:r>
    </w:p>
    <w:p>
      <w:pPr>
        <w:spacing w:after="0" w:line="167"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 Matt Zmigrosky shall have furnished to the Representative his written opinion, as general counsel to the Company, addressed to the Representative and dated the applicable Delivery Date, in form and substance reasonably satisfactory to the Representative.</w:t>
      </w:r>
    </w:p>
    <w:p>
      <w:pPr>
        <w:spacing w:after="0" w:line="172"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3" w:lineRule="exact"/>
        <w:rPr>
          <w:rFonts w:ascii="Times New Roman" w:cs="Times New Roman" w:eastAsia="Times New Roman" w:hAnsi="Times New Roman"/>
          <w:sz w:val="22"/>
          <w:szCs w:val="22"/>
          <w:color w:val="auto"/>
        </w:rPr>
      </w:pPr>
    </w:p>
    <w:p>
      <w:pPr>
        <w:jc w:val="both"/>
        <w:ind w:firstLine="644"/>
        <w:spacing w:after="0" w:line="250"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Representative shall have received from Latham &amp; Watkins LLP, counsel for the Underwriters, such opinion or opinions, dated the applicable Delivery Date, with respect to the issuance and sale of the Stock, the Registration Statement, the Prospectus and the Pricing Disclosure Package and other related matters as the Representative may reasonably require, and the Company and its subsidiaries shall have furnished to such counsel such documents as they reasonably request for the purpose of enabling them to pass upon such matters.</w:t>
      </w:r>
    </w:p>
    <w:p>
      <w:pPr>
        <w:spacing w:after="0" w:line="180" w:lineRule="exact"/>
        <w:rPr>
          <w:rFonts w:ascii="Times New Roman" w:cs="Times New Roman" w:eastAsia="Times New Roman" w:hAnsi="Times New Roman"/>
          <w:sz w:val="22"/>
          <w:szCs w:val="22"/>
          <w:color w:val="auto"/>
        </w:rPr>
      </w:pPr>
    </w:p>
    <w:p>
      <w:pPr>
        <w:jc w:val="both"/>
        <w:ind w:firstLine="644"/>
        <w:spacing w:after="0" w:line="250"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execution of this Agreement, the Representative shall have received from Grant Thornton LLP letters, in form and substance satisfactory to the Representative,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included or incorporated by reference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79" w:lineRule="exact"/>
        <w:rPr>
          <w:rFonts w:ascii="Times New Roman" w:cs="Times New Roman" w:eastAsia="Times New Roman" w:hAnsi="Times New Roman"/>
          <w:sz w:val="22"/>
          <w:szCs w:val="22"/>
          <w:color w:val="auto"/>
        </w:rPr>
      </w:pPr>
    </w:p>
    <w:p>
      <w:pPr>
        <w:jc w:val="both"/>
        <w:ind w:firstLine="644"/>
        <w:spacing w:after="0" w:line="249" w:lineRule="auto"/>
        <w:tabs>
          <w:tab w:leader="none" w:pos="128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letters of Grant Thornton LLP referred to in the preceding paragraph and delivered to the Representative concurrently with the execution of this Agreement (the “</w:t>
      </w:r>
      <w:r>
        <w:rPr>
          <w:rFonts w:ascii="Times New Roman" w:cs="Times New Roman" w:eastAsia="Times New Roman" w:hAnsi="Times New Roman"/>
          <w:sz w:val="22"/>
          <w:szCs w:val="22"/>
          <w:b w:val="1"/>
          <w:bCs w:val="1"/>
          <w:i w:val="1"/>
          <w:iCs w:val="1"/>
          <w:color w:val="auto"/>
        </w:rPr>
        <w:t>initial letters</w:t>
      </w:r>
      <w:r>
        <w:rPr>
          <w:rFonts w:ascii="Times New Roman" w:cs="Times New Roman" w:eastAsia="Times New Roman" w:hAnsi="Times New Roman"/>
          <w:sz w:val="22"/>
          <w:szCs w:val="22"/>
          <w:color w:val="auto"/>
        </w:rPr>
        <w:t>”), the Company shall have furnished to the Representative letters (the “</w:t>
      </w:r>
      <w:r>
        <w:rPr>
          <w:rFonts w:ascii="Times New Roman" w:cs="Times New Roman" w:eastAsia="Times New Roman" w:hAnsi="Times New Roman"/>
          <w:sz w:val="22"/>
          <w:szCs w:val="22"/>
          <w:b w:val="1"/>
          <w:bCs w:val="1"/>
          <w:i w:val="1"/>
          <w:iCs w:val="1"/>
          <w:color w:val="auto"/>
        </w:rPr>
        <w:t>bring-down letters</w:t>
      </w:r>
      <w:r>
        <w:rPr>
          <w:rFonts w:ascii="Times New Roman" w:cs="Times New Roman" w:eastAsia="Times New Roman" w:hAnsi="Times New Roman"/>
          <w:sz w:val="22"/>
          <w:szCs w:val="22"/>
          <w:color w:val="auto"/>
        </w:rPr>
        <w:t>”) of such accountants, addressed to the Underwriters and dated the applicable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letters (or, with respect to matters involving changes or developments since the respective dates as of which specified financial information is included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580"/>
          </w:cols>
          <w:pgMar w:left="980" w:top="1422"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2"/>
          <w:szCs w:val="22"/>
          <w:color w:val="auto"/>
        </w:rPr>
        <w:t>incorporated by reference in the Prospectus, as of a date not more than three days prior to the date of the bring-down letters), the conclusions and findings of such firm with respect to the financial information and other matters covered by its initial letters, and (iii) confirming in all material respects the conclusions and findings set forth in its initial letters.</w:t>
      </w:r>
    </w:p>
    <w:p>
      <w:pPr>
        <w:spacing w:after="0" w:line="186" w:lineRule="exact"/>
        <w:rPr>
          <w:sz w:val="20"/>
          <w:szCs w:val="20"/>
          <w:color w:val="auto"/>
        </w:rPr>
      </w:pPr>
    </w:p>
    <w:p>
      <w:pPr>
        <w:jc w:val="both"/>
        <w:ind w:firstLine="644"/>
        <w:spacing w:after="0" w:line="251" w:lineRule="auto"/>
        <w:tabs>
          <w:tab w:leader="none" w:pos="12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Representative shall have received from each of Ryder Scott, CGA and D&amp;M a letter, addressed to the Underwriters dated as of the date hereof and the applicable Delivery Date, in form and substance satisfactory to the Representative, confirming that, as of the date of its reserve report, it was an independent petroleum engineer with respect to the Company and its subsidiaries, Tumbleweed or GRP Energy Capital, as applicable, and as of the date of such letter, no information had come to its attention that could reasonably have been expected to cause it to withdraw its reserve report.</w:t>
      </w:r>
    </w:p>
    <w:p>
      <w:pPr>
        <w:spacing w:after="0" w:line="181"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furnished to the Representative a certificate, dated the applicable Delivery Date, of the Chief Executive Officer and the Chief Financial Officer of the Company as to such matters as the Representative may reasonably request, including, without limitation, a statement that:</w:t>
      </w:r>
    </w:p>
    <w:p>
      <w:pPr>
        <w:spacing w:after="0" w:line="172" w:lineRule="exact"/>
        <w:rPr>
          <w:rFonts w:ascii="Times New Roman" w:cs="Times New Roman" w:eastAsia="Times New Roman" w:hAnsi="Times New Roman"/>
          <w:sz w:val="22"/>
          <w:szCs w:val="22"/>
          <w:color w:val="auto"/>
        </w:rPr>
      </w:pPr>
    </w:p>
    <w:p>
      <w:pPr>
        <w:jc w:val="both"/>
        <w:ind w:left="640" w:firstLine="529"/>
        <w:spacing w:after="0" w:line="281" w:lineRule="auto"/>
        <w:tabs>
          <w:tab w:leader="none" w:pos="199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warranties and agreements of the Company in Section 1(i) are true and correct on and as of each Delivery Date, and the Company has complied with all its agreements contained herein and satisfied all the conditions on its part to be performed or satisfied hereunder at or prior to each Delivery Date;</w:t>
      </w:r>
    </w:p>
    <w:p>
      <w:pPr>
        <w:spacing w:after="0" w:line="150" w:lineRule="exact"/>
        <w:rPr>
          <w:rFonts w:ascii="Times New Roman" w:cs="Times New Roman" w:eastAsia="Times New Roman" w:hAnsi="Times New Roman"/>
          <w:sz w:val="21"/>
          <w:szCs w:val="21"/>
          <w:color w:val="auto"/>
        </w:rPr>
      </w:pPr>
    </w:p>
    <w:p>
      <w:pPr>
        <w:jc w:val="both"/>
        <w:ind w:left="640" w:firstLine="652"/>
        <w:spacing w:after="0" w:line="252" w:lineRule="auto"/>
        <w:tabs>
          <w:tab w:leader="none" w:pos="1861"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 and</w:t>
      </w:r>
    </w:p>
    <w:p>
      <w:pPr>
        <w:spacing w:after="0" w:line="192" w:lineRule="exact"/>
        <w:rPr>
          <w:rFonts w:ascii="Times New Roman" w:cs="Times New Roman" w:eastAsia="Times New Roman" w:hAnsi="Times New Roman"/>
          <w:sz w:val="22"/>
          <w:szCs w:val="22"/>
          <w:color w:val="auto"/>
        </w:rPr>
      </w:pPr>
    </w:p>
    <w:p>
      <w:pPr>
        <w:jc w:val="both"/>
        <w:ind w:left="640" w:firstLine="652"/>
        <w:spacing w:after="0" w:line="249" w:lineRule="auto"/>
        <w:tabs>
          <w:tab w:leader="none" w:pos="1841"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580"/>
          </w:cols>
          <w:pgMar w:left="980" w:top="1422" w:right="339" w:bottom="1440" w:gutter="0" w:footer="0" w:header="0"/>
        </w:sectPr>
      </w:pPr>
    </w:p>
    <w:bookmarkStart w:id="29" w:name="page30"/>
    <w:bookmarkEnd w:id="29"/>
    <w:p>
      <w:pPr>
        <w:ind w:left="820" w:hanging="636"/>
        <w:spacing w:after="0"/>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shall have been duly listed on The Nasdaq Global Select Market.</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8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the most recent Preliminary Prospectus, (i) none of the Company and its subsidiaries shall have sustained, since the date of the latest audited financial statements included or incorporated by reference in the most recent Preliminary Prospectus, any loss or interference with its business from fire, explosion, flood or other calamity, whether or not covered by insurance, or from any labor dispute or court or governmental action, order or decree, or (ii) since such date there shall not have been any change in the equity interest or long-term debt of any of the Company and its subsidiaries or any change, or any development involving a prospective change, in or affecting the condition (financial or otherwise), results of operations, partners’ or members’ equity, properties, management, business or prospects of the Company and its subsidiaries taken as a whole, the effect of which, in any such case described in clause (i) or (ii), is, individually or in the aggregate, in the judgment of the Representative, so material and adverse as to make it impracticable or inadvisable to proceed with the public offering or the delivery of the Stock being delivered on each Delivery Date on the terms and in the manner contemplated in the Prospectus.</w:t>
      </w:r>
    </w:p>
    <w:p>
      <w:pPr>
        <w:spacing w:after="0" w:line="188"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3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execution and delivery of this Agreement, to the extent applicable, (i) no downgrading shall have occurred in the rating accorded the Company’s debt securities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debt securities.</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61" w:lineRule="auto"/>
        <w:tabs>
          <w:tab w:leader="none" w:pos="83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 impracticable or inadvisable to proceed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120"/>
          </w:cols>
          <w:pgMar w:left="1440" w:top="1422" w:right="339" w:bottom="1440" w:gutter="0" w:footer="0" w:header="0"/>
        </w:sectPr>
      </w:pPr>
    </w:p>
    <w:bookmarkStart w:id="30" w:name="page31"/>
    <w:bookmarkEnd w:id="30"/>
    <w:p>
      <w:pPr>
        <w:ind w:left="660" w:right="20"/>
        <w:spacing w:after="0" w:line="271" w:lineRule="auto"/>
        <w:rPr>
          <w:sz w:val="20"/>
          <w:szCs w:val="20"/>
          <w:color w:val="auto"/>
        </w:rPr>
      </w:pPr>
      <w:r>
        <w:rPr>
          <w:rFonts w:ascii="Times New Roman" w:cs="Times New Roman" w:eastAsia="Times New Roman" w:hAnsi="Times New Roman"/>
          <w:sz w:val="22"/>
          <w:szCs w:val="22"/>
          <w:color w:val="auto"/>
        </w:rPr>
        <w:t>public offering or delivery of the Stock being delivered on each Delivery Date on the terms and in the manner contemplated in the Prospectus.</w:t>
      </w:r>
    </w:p>
    <w:p>
      <w:pPr>
        <w:spacing w:after="0" w:line="158" w:lineRule="exact"/>
        <w:rPr>
          <w:sz w:val="20"/>
          <w:szCs w:val="20"/>
          <w:color w:val="auto"/>
        </w:rPr>
      </w:pPr>
    </w:p>
    <w:p>
      <w:pPr>
        <w:jc w:val="both"/>
        <w:ind w:left="660" w:firstLine="644"/>
        <w:spacing w:after="0" w:line="263" w:lineRule="auto"/>
        <w:tabs>
          <w:tab w:leader="none" w:pos="19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Lock-Up Agreements between the Representative and the officers and directors of the Company set forth on Schedule IV, delivered to the Representative on or before the date of this Agreement, shall be in full force and effect on such Delivery Date.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Representative shall have received, on the date hereof and on the applicable Delivery Date, a certificate or certificates of an officer or officers of the Company with respect to the pro forma financial and operational information included in the Pricing Disclosure Package or the Prospectus, in form and substance reasonably acceptable to the Representative.</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Delivery Date, the Company and its subsidiaries shall have furnished to the Underwriters such further certificates and documents as the Representative may reasonably request.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82" w:lineRule="exact"/>
        <w:rPr>
          <w:sz w:val="20"/>
          <w:szCs w:val="20"/>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i w:val="1"/>
          <w:iCs w:val="1"/>
          <w:color w:val="auto"/>
        </w:rPr>
        <w:t>.</w:t>
      </w:r>
    </w:p>
    <w:p>
      <w:pPr>
        <w:spacing w:after="0" w:line="224" w:lineRule="exact"/>
        <w:rPr>
          <w:sz w:val="20"/>
          <w:szCs w:val="20"/>
          <w:color w:val="auto"/>
        </w:rPr>
      </w:pPr>
    </w:p>
    <w:p>
      <w:pPr>
        <w:jc w:val="both"/>
        <w:ind w:left="660" w:firstLine="644"/>
        <w:spacing w:after="0" w:line="259" w:lineRule="auto"/>
        <w:tabs>
          <w:tab w:leader="none" w:pos="195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w:t>
      </w:r>
    </w:p>
    <w:p>
      <w:pPr>
        <w:spacing w:after="0" w:line="10"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10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materials or information provided to investors by, or with the approval of, the Company in connection with the marketing of the offering of the Stock, including any “road show” (as defined in Rule 433 under the Securities Act) not constituting an Issuer Free Writing Prospectus (“</w:t>
      </w:r>
      <w:r>
        <w:rPr>
          <w:rFonts w:ascii="Times New Roman" w:cs="Times New Roman" w:eastAsia="Times New Roman" w:hAnsi="Times New Roman"/>
          <w:sz w:val="22"/>
          <w:szCs w:val="22"/>
          <w:b w:val="1"/>
          <w:bCs w:val="1"/>
          <w:i w:val="1"/>
          <w:iCs w:val="1"/>
          <w:color w:val="auto"/>
        </w:rPr>
        <w:t>Marketing Materials</w:t>
      </w:r>
      <w:r>
        <w:rPr>
          <w:rFonts w:ascii="Times New Roman" w:cs="Times New Roman" w:eastAsia="Times New Roman" w:hAnsi="Times New Roman"/>
          <w:sz w:val="22"/>
          <w:szCs w:val="22"/>
          <w:color w:val="auto"/>
        </w:rPr>
        <w:t>”), (E) any Written Testing-the-Waters Communication, or (F) any Blue Sky application or other document prepared or executed by the Company (or based upon any written information furnished by the Company for use therein) specifically for the purpose of qualifying any or all of the Stock under the securities laws of any state or other jurisdiction (any such application, document or information being hereinafter called a “</w:t>
      </w:r>
      <w:r>
        <w:rPr>
          <w:rFonts w:ascii="Times New Roman" w:cs="Times New Roman" w:eastAsia="Times New Roman" w:hAnsi="Times New Roman"/>
          <w:sz w:val="22"/>
          <w:szCs w:val="22"/>
          <w:b w:val="1"/>
          <w:bCs w:val="1"/>
          <w:i w:val="1"/>
          <w:iCs w:val="1"/>
          <w:color w:val="auto"/>
        </w:rPr>
        <w:t>Blue Sky Application</w:t>
      </w:r>
      <w:r>
        <w:rPr>
          <w:rFonts w:ascii="Times New Roman" w:cs="Times New Roman" w:eastAsia="Times New Roman" w:hAnsi="Times New Roman"/>
          <w:sz w:val="22"/>
          <w:szCs w:val="22"/>
          <w:color w:val="auto"/>
        </w:rPr>
        <w:t>”) or (ii) the omission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alleged omission to state in any Preliminary Prospectus, the Registration Statement, the Prospectus, any Issuer Free Writing Prospectus, any Written Testing-the-Waters Communication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employee or controlling person promptly upon demand for any and all expenses (including legal or other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none of the Company or its subsidiaries shall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any Written Testing-the-Waters Communication or in any such amendment or supplement thereto or in any Permitted Issuer Information, any Marketing Materials or any Blue Sky Application, in reliance upon and in conformity with written information concerning such Underwriter furnished to the Company through the Representative by or on behalf of any Underwriter specifically for inclusion therein, which information consists solely of the information specified in Section 8(f). The foregoing indemnity agreement is in addition to any liability which the Company may otherwise have to any Underwriter or to any affiliate, director, officer, employee or controlling person of that Underwriter.</w:t>
      </w:r>
    </w:p>
    <w:p>
      <w:pPr>
        <w:spacing w:after="0" w:line="191" w:lineRule="exact"/>
        <w:rPr>
          <w:sz w:val="20"/>
          <w:szCs w:val="20"/>
          <w:color w:val="auto"/>
        </w:rPr>
      </w:pPr>
    </w:p>
    <w:p>
      <w:pPr>
        <w:ind w:left="1280" w:hanging="636"/>
        <w:spacing w:after="0"/>
        <w:tabs>
          <w:tab w:leader="none" w:pos="12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firstLine="644"/>
        <w:spacing w:after="0" w:line="248"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Underwriter, severally, not jointly, shall indemnify and hold harmless the Company, its directors, officers and employees,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any Written Testing-the-Waters Communication or in any amendment or supplement thereto or in any Marketing Materials or Blue Sky Application, or (ii) the omission or alleged omission to state in any Preliminary Prospectus, the Registration Statement, the Prospectus, any Issuer Free Writing Prospectus, any Written Testing-the-Waters Communication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 by or on behalf of that Underwriter specifically for inclusion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580"/>
          </w:cols>
          <w:pgMar w:left="980" w:top="1422" w:right="339" w:bottom="1440" w:gutter="0" w:footer="0" w:header="0"/>
        </w:sectPr>
      </w:pPr>
    </w:p>
    <w:bookmarkStart w:id="32" w:name="page33"/>
    <w:bookmarkEnd w:id="32"/>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which information is limited to the information set forth in Section 8(f). The foregoing indemnity agreement is in addition to any liability that any Underwriter may otherwise have to the Company or any such director, officer, employee or controlling person.</w:t>
      </w:r>
    </w:p>
    <w:p>
      <w:pPr>
        <w:spacing w:after="0" w:line="186" w:lineRule="exact"/>
        <w:rPr>
          <w:sz w:val="20"/>
          <w:szCs w:val="20"/>
          <w:color w:val="auto"/>
        </w:rPr>
      </w:pPr>
    </w:p>
    <w:p>
      <w:pPr>
        <w:jc w:val="both"/>
        <w:ind w:left="4" w:firstLine="644"/>
        <w:spacing w:after="0" w:line="258" w:lineRule="auto"/>
        <w:tabs>
          <w:tab w:leader="none" w:pos="129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w:t>
      </w:r>
    </w:p>
    <w:p>
      <w:pPr>
        <w:spacing w:after="0" w:line="8" w:lineRule="exact"/>
        <w:rPr>
          <w:rFonts w:ascii="Times New Roman" w:cs="Times New Roman" w:eastAsia="Times New Roman" w:hAnsi="Times New Roman"/>
          <w:sz w:val="21"/>
          <w:szCs w:val="21"/>
          <w:color w:val="auto"/>
        </w:rPr>
      </w:pPr>
    </w:p>
    <w:p>
      <w:pPr>
        <w:jc w:val="both"/>
        <w:ind w:left="4" w:hanging="4"/>
        <w:spacing w:after="0" w:line="245" w:lineRule="auto"/>
        <w:tabs>
          <w:tab w:leader="none" w:pos="3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584"/>
          </w:cols>
          <w:pgMar w:left="976" w:top="1422"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22"/>
          <w:szCs w:val="22"/>
          <w:color w:val="auto"/>
        </w:rPr>
        <w:t>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8(a) or (b)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w:t>
      </w:r>
    </w:p>
    <w:p>
      <w:pPr>
        <w:spacing w:after="0" w:line="183" w:lineRule="exact"/>
        <w:rPr>
          <w:sz w:val="20"/>
          <w:szCs w:val="20"/>
          <w:color w:val="auto"/>
        </w:rPr>
      </w:pPr>
    </w:p>
    <w:p>
      <w:pPr>
        <w:jc w:val="both"/>
        <w:ind w:firstLine="644"/>
        <w:spacing w:after="0" w:line="259" w:lineRule="auto"/>
        <w:tabs>
          <w:tab w:leader="none" w:pos="129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indemnification provided for in this Section 8 shall for any reason be unavailable to or insufficient to hold harmless an indemnified party under Section 8(a), 8(b) or 8(c)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Stock,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Stock purchased under this Agreement (before deducting expenses) received by the Company, as set forth in the table on the cover page of the Prospectus, on the one hand, and the total underwriting discounts and commissions received by the Underwriters with respect to the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8(e) were to be determined by pro rata allocation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8(e) shall be deemed to include, for purposes of this Section 8(e),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422" w:right="339" w:bottom="1440" w:gutter="0" w:footer="0" w:header="0"/>
        </w:sectPr>
      </w:pPr>
    </w:p>
    <w:bookmarkStart w:id="34" w:name="page35"/>
    <w:bookmarkEnd w:id="34"/>
    <w:p>
      <w:pPr>
        <w:jc w:val="both"/>
        <w:spacing w:after="0" w:line="250" w:lineRule="auto"/>
        <w:rPr>
          <w:sz w:val="20"/>
          <w:szCs w:val="20"/>
          <w:color w:val="auto"/>
        </w:rPr>
      </w:pPr>
      <w:r>
        <w:rPr>
          <w:rFonts w:ascii="Times New Roman" w:cs="Times New Roman" w:eastAsia="Times New Roman" w:hAnsi="Times New Roman"/>
          <w:sz w:val="22"/>
          <w:szCs w:val="22"/>
          <w:color w:val="auto"/>
        </w:rPr>
        <w:t>any legal or other expenses reasonably incurred by such indemnified party in connection with investigating or defending any such action or claim. Notwithstanding the provisions of this Section 8(e), in no event shall an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paragraph are several in proportion to their respective purchase obligations hereunder and not joint.</w:t>
      </w:r>
    </w:p>
    <w:p>
      <w:pPr>
        <w:spacing w:after="0" w:line="180" w:lineRule="exact"/>
        <w:rPr>
          <w:sz w:val="20"/>
          <w:szCs w:val="20"/>
          <w:color w:val="auto"/>
        </w:rPr>
      </w:pPr>
    </w:p>
    <w:p>
      <w:pPr>
        <w:jc w:val="both"/>
        <w:ind w:firstLine="644"/>
        <w:spacing w:after="0" w:line="250"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confirm and the Company acknowledges and agrees that the information appearing in the first sentence of the fourth paragraph, the second sentence of the eleventh paragraph and information relating to stabilization by the Underwriters appearing in the twelfth, thirteenth and fourteenth paragraphs under the caption “Underwriting” in the most recent Preliminary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any Written Testing-the-Waters Communication or in any amendment or supplement thereto or in any Marketing Materials.</w:t>
      </w:r>
    </w:p>
    <w:p>
      <w:pPr>
        <w:spacing w:after="0" w:line="180" w:lineRule="exact"/>
        <w:rPr>
          <w:sz w:val="20"/>
          <w:szCs w:val="20"/>
          <w:color w:val="auto"/>
        </w:rPr>
      </w:pPr>
    </w:p>
    <w:p>
      <w:pPr>
        <w:ind w:left="1300" w:hanging="656"/>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Underwriters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4"/>
        <w:spacing w:after="0" w:line="248" w:lineRule="auto"/>
        <w:tabs>
          <w:tab w:leader="none" w:pos="12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that they have so arranged for the purchase of such Stock, or the Company notifies the non-defaulting Underwriters that it has so arranged for the purchase of such Stock,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580"/>
          </w:cols>
          <w:pgMar w:left="980" w:top="142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this Section 9, purchases Stock that a defaulting Underwriter agreed but failed to purchase.</w:t>
      </w:r>
    </w:p>
    <w:p>
      <w:pPr>
        <w:spacing w:after="0" w:line="220" w:lineRule="exact"/>
        <w:rPr>
          <w:sz w:val="20"/>
          <w:szCs w:val="20"/>
          <w:color w:val="auto"/>
        </w:rPr>
      </w:pPr>
    </w:p>
    <w:p>
      <w:pPr>
        <w:jc w:val="both"/>
        <w:ind w:left="660" w:firstLine="644"/>
        <w:spacing w:after="0" w:line="250" w:lineRule="auto"/>
        <w:tabs>
          <w:tab w:leader="none" w:pos="195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arrangements for the purchase of the Stock of a defaulting Underwriter or Underwriters by the non-defaulting Underwriters and the Company as provided in paragraph (a) above, the total number of the Stock that remains unpurchased does not exceed one-eleventh of the total number of all the Stock, then the Company shall have the right to require each non-defaulting Underwriter to purchase the total number of Stock that such Underwriter agreed to purchase hereunder plus such Underwriters’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total number of Stock that such Underwriter agreed to purchase hereunder) of the Stock of such defaulting Underwriter or Underwriters for which such arrangements have not been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non-defaulting Underwriters shall not be obligated to purchase more than 110% of the total number of Stock that it agreed to purchase on such Delivery Date pursuant to the terms of Section 2.</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arrangements for the purchase of the Stock of a defaulting Underwriter or Underwriters by the non-defaulting Underwriters and the Company as provided in paragraph (a) above, the total number of Stock that remains unpurchased exceeds one-eleventh of the total number of all the Stock,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172" w:lineRule="exact"/>
        <w:rPr>
          <w:rFonts w:ascii="Times New Roman" w:cs="Times New Roman" w:eastAsia="Times New Roman" w:hAnsi="Times New Roman"/>
          <w:sz w:val="21"/>
          <w:szCs w:val="21"/>
          <w:color w:val="auto"/>
        </w:rPr>
      </w:pPr>
    </w:p>
    <w:p>
      <w:pPr>
        <w:ind w:left="660" w:firstLine="644"/>
        <w:spacing w:after="0" w:line="271" w:lineRule="auto"/>
        <w:tabs>
          <w:tab w:leader="none" w:pos="195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relieve a defaulting Underwriter of any liability it may have to the Company or any non-defaulting Underwriter for damages caused by its default.</w:t>
      </w:r>
    </w:p>
    <w:p>
      <w:pPr>
        <w:spacing w:after="0" w:line="167" w:lineRule="exact"/>
        <w:rPr>
          <w:sz w:val="20"/>
          <w:szCs w:val="20"/>
          <w:color w:val="auto"/>
        </w:rPr>
      </w:pPr>
    </w:p>
    <w:p>
      <w:pPr>
        <w:jc w:val="both"/>
        <w:ind w:firstLine="1304"/>
        <w:spacing w:after="0" w:line="253"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Underwriters may terminate their obligations hereunder by notice given to and received by the Company prior to delivery of and payment for the Firm Stock if, prior to that time, any of the events described in Sections 7(m), 7(n) and 7(o) shall have occurred or if the Underwriters shall decline to purchase the Stock for any reason permitted under this Agreement.</w:t>
      </w:r>
    </w:p>
    <w:p>
      <w:pPr>
        <w:spacing w:after="0" w:line="17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Underwriters’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 the Company shall fail to tender the Stock for delivery to the Underwriters for any reason other than by reason of a default by any of the Underwriters, or (b) the Underwriters shall decline to purchase the Stock for any reason permitted under this Agreement (other than Section 7(o)(i)(A), (o)(ii), (o)(iii) or (o)(iv)), the Company will reimburse the Underwriters for all reasonable out-of-pocket expenses (including fees and disbursements of counsel for the Underwriters) incurred by the Underwriters in connection with this Agreement and the proposed purchase of the Stock, and upon demand the Company shall pay the full amount thereof to the Representative. If this Agreement is terminated pursuant to Section 9 by reason of the default of one or more Underwriters,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Company shall not be obligated to reimburse any defaulting Underwriter on account of those expenses.</w:t>
      </w:r>
    </w:p>
    <w:p>
      <w:pPr>
        <w:spacing w:after="0" w:line="216" w:lineRule="exact"/>
        <w:rPr>
          <w:sz w:val="20"/>
          <w:szCs w:val="20"/>
          <w:color w:val="auto"/>
        </w:rPr>
      </w:pPr>
    </w:p>
    <w:p>
      <w:pPr>
        <w:jc w:val="both"/>
        <w:ind w:firstLine="1304"/>
        <w:spacing w:after="0" w:line="248"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that the Underwriters’ research analysts and research departments are required to be independent from the investment banking division and are subject to certain regulations and internal policies, and that the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the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The Company acknowledges and agrees that in connection with this offering, sale of the Stock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 or otherwise, to any of the Company, including, without limitation, with respect to the determination of the public offering price of the Stock,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affiliates may have interests that differ from those of the Company. The Company hereby waives any claims that the Company may have against the Underwriters with respect to any breach of fiduciary duty in connection with this offering. Moreover, the Company acknowledges and agrees that, although the Representative may be required or choose to provide the Company with certain Regulation Best Interest and Form CRS disclosures in connection with the offering, the Representative and the other Underwriters are not making a recommendation to the Company to participate in the offering, enter into a “lock-up” agreement, or sell any Stock at the price determined in the offering, and nothing set forth in such disclosures is intended to suggest that the Representative or any Underwriter is making such a recommendation.</w:t>
      </w:r>
    </w:p>
    <w:p>
      <w:pPr>
        <w:spacing w:after="0" w:line="19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statements, requests, notices and agreements hereunder shall be in writing, and:</w:t>
      </w:r>
    </w:p>
    <w:p>
      <w:pPr>
        <w:spacing w:after="0" w:line="237" w:lineRule="exact"/>
        <w:rPr>
          <w:rFonts w:ascii="Times New Roman" w:cs="Times New Roman" w:eastAsia="Times New Roman" w:hAnsi="Times New Roman"/>
          <w:sz w:val="22"/>
          <w:szCs w:val="22"/>
          <w:color w:val="auto"/>
        </w:rPr>
      </w:pPr>
    </w:p>
    <w:p>
      <w:pPr>
        <w:ind w:left="1300" w:right="1040" w:firstLine="652"/>
        <w:spacing w:after="0" w:line="271" w:lineRule="auto"/>
        <w:tabs>
          <w:tab w:leader="none" w:pos="259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Underwriters, shall be delivered or sent by mail or facsimile transmission to the Representative c/o Goldman Sachs &amp; Co. LLC, 200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22"/>
          <w:szCs w:val="22"/>
          <w:color w:val="auto"/>
        </w:rPr>
        <w:t>West Street, New York, New York 10282-2198, Attention: Registration Department; and</w:t>
      </w:r>
    </w:p>
    <w:p>
      <w:pPr>
        <w:spacing w:after="0" w:line="220" w:lineRule="exact"/>
        <w:rPr>
          <w:sz w:val="20"/>
          <w:szCs w:val="20"/>
          <w:color w:val="auto"/>
        </w:rPr>
      </w:pPr>
    </w:p>
    <w:p>
      <w:pPr>
        <w:ind w:left="1300" w:firstLine="652"/>
        <w:spacing w:after="0" w:line="271" w:lineRule="auto"/>
        <w:tabs>
          <w:tab w:leader="none" w:pos="25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shall be delivered or sent by mail or facsimile transmission to the address of the Company set forth in the Registration Statement, Attention: P. Matt Zmigrosky.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such statements, requests, notices or agreements shall take effect at the time of receipt thereof. The Company shall be entitled to act and rely upon any request, consent, notice or agreement given or made by the Representative on behalf of the Underwriters.</w:t>
      </w:r>
    </w:p>
    <w:p>
      <w:pPr>
        <w:spacing w:after="0" w:line="173" w:lineRule="exact"/>
        <w:rPr>
          <w:sz w:val="20"/>
          <w:szCs w:val="20"/>
          <w:color w:val="auto"/>
        </w:rPr>
      </w:pPr>
    </w:p>
    <w:p>
      <w:pPr>
        <w:jc w:val="both"/>
        <w:ind w:firstLine="1304"/>
        <w:spacing w:after="0" w:line="249"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Entitled to Benefit of Agreement</w:t>
      </w:r>
      <w:r>
        <w:rPr>
          <w:rFonts w:ascii="Times New Roman" w:cs="Times New Roman" w:eastAsia="Times New Roman" w:hAnsi="Times New Roman"/>
          <w:sz w:val="22"/>
          <w:szCs w:val="22"/>
          <w:color w:val="auto"/>
        </w:rPr>
        <w:t>. This Agreement shall inure to the benefit of and be binding upon the Underwriters, the Company and 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employees and affiliates of the Underwriters and each person or persons, if any, who control any Underwriter within the meaning of Section 15 of the Securities Act, and (b) the indemnity agreement of the Underwriters contained in Section 8(c)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respective indemnities, representations, warranties and agreements of the Company and its subsidiaries and the 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director, officer, employee, affiliate or controlling person of any of them.</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the Terms “Business Day,” “Affiliate” and “Subsidiary.”</w:t>
      </w:r>
      <w:r>
        <w:rPr>
          <w:rFonts w:ascii="Times New Roman" w:cs="Times New Roman" w:eastAsia="Times New Roman" w:hAnsi="Times New Roman"/>
          <w:sz w:val="22"/>
          <w:szCs w:val="22"/>
          <w:color w:val="auto"/>
        </w:rPr>
        <w:t xml:space="preserve"> For purposes of this Agreement, (a) “</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each 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have the meanings set forth in Rule 405 under the Securities Act.</w:t>
      </w:r>
    </w:p>
    <w:p>
      <w:pPr>
        <w:spacing w:after="0" w:line="17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and any claim, controversy or dispute arising under or related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shall be governed by and construed in accordance with the laws of the State of New York without regard to conflict of laws principles (other than Section 5-1401 of the General Obligations Law).</w:t>
      </w:r>
    </w:p>
    <w:p>
      <w:pPr>
        <w:spacing w:after="0" w:line="170" w:lineRule="exact"/>
        <w:rPr>
          <w:rFonts w:ascii="Times New Roman" w:cs="Times New Roman" w:eastAsia="Times New Roman" w:hAnsi="Times New Roman"/>
          <w:sz w:val="22"/>
          <w:szCs w:val="22"/>
          <w:color w:val="auto"/>
        </w:rPr>
      </w:pPr>
    </w:p>
    <w:p>
      <w:pPr>
        <w:ind w:right="20" w:firstLine="1304"/>
        <w:spacing w:after="0" w:line="271"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the Underwriters hereby irrevocably waive, to the fullest extent permitted by applicable law, any and all right to trial by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jury in any legal proceeding arising out of or relating to this Agreement or the transactions contemplated hereby.</w:t>
      </w:r>
    </w:p>
    <w:p>
      <w:pPr>
        <w:spacing w:after="0" w:line="216" w:lineRule="exact"/>
        <w:rPr>
          <w:sz w:val="20"/>
          <w:szCs w:val="20"/>
          <w:color w:val="auto"/>
        </w:rPr>
      </w:pPr>
    </w:p>
    <w:p>
      <w:pPr>
        <w:jc w:val="both"/>
        <w:ind w:firstLine="1304"/>
        <w:spacing w:after="0" w:line="252"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This Agreement may be executed in one or more counterparts and, if executed in more than one counterpart, the 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i w:val="1"/>
          <w:iCs w:val="1"/>
          <w:color w:val="auto"/>
        </w:rPr>
        <w:t>.</w:t>
      </w:r>
    </w:p>
    <w:p>
      <w:pPr>
        <w:spacing w:after="0" w:line="223" w:lineRule="exact"/>
        <w:rPr>
          <w:rFonts w:ascii="Times New Roman" w:cs="Times New Roman" w:eastAsia="Times New Roman" w:hAnsi="Times New Roman"/>
          <w:sz w:val="22"/>
          <w:szCs w:val="22"/>
          <w:color w:val="auto"/>
        </w:rPr>
      </w:pPr>
    </w:p>
    <w:p>
      <w:pPr>
        <w:ind w:right="80" w:firstLine="224"/>
        <w:spacing w:after="0" w:line="256" w:lineRule="auto"/>
        <w:tabs>
          <w:tab w:leader="none" w:pos="67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rFonts w:ascii="Times New Roman" w:cs="Times New Roman" w:eastAsia="Times New Roman" w:hAnsi="Times New Roman"/>
          <w:sz w:val="22"/>
          <w:szCs w:val="22"/>
          <w:color w:val="auto"/>
        </w:rPr>
      </w:pPr>
    </w:p>
    <w:p>
      <w:pPr>
        <w:ind w:right="60" w:firstLine="224"/>
        <w:spacing w:after="0" w:line="256" w:lineRule="auto"/>
        <w:tabs>
          <w:tab w:leader="none" w:pos="68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Underwriter is a Covered Entity, or a BHC Act Affiliate of an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For the purposes of this Section 22,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39" w:name="page40"/>
    <w:bookmarkEnd w:id="39"/>
    <w:p>
      <w:pPr>
        <w:ind w:firstLine="1304"/>
        <w:spacing w:after="0" w:line="275"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headings herein are inserted for convenience of reference only and are not intended to be part of, or to affect the meaning or interpretation of, this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18" w:right="339" w:bottom="1440" w:gutter="0" w:footer="0" w:header="0"/>
        </w:sectPr>
      </w:pPr>
    </w:p>
    <w:bookmarkStart w:id="40" w:name="page41"/>
    <w:bookmarkEnd w:id="40"/>
    <w:p>
      <w:pPr>
        <w:ind w:firstLine="648"/>
        <w:spacing w:after="0" w:line="271" w:lineRule="auto"/>
        <w:rPr>
          <w:sz w:val="20"/>
          <w:szCs w:val="20"/>
          <w:color w:val="auto"/>
        </w:rPr>
      </w:pPr>
      <w:r>
        <w:rPr>
          <w:rFonts w:ascii="Times New Roman" w:cs="Times New Roman" w:eastAsia="Times New Roman" w:hAnsi="Times New Roman"/>
          <w:sz w:val="22"/>
          <w:szCs w:val="22"/>
          <w:color w:val="auto"/>
        </w:rPr>
        <w:t>If the foregoing correctly sets forth the agreement among the Company and the Underwriters, please indicate your acceptance in the space provided for that purpose below.</w:t>
      </w:r>
    </w:p>
    <w:p>
      <w:pPr>
        <w:spacing w:after="0" w:line="200" w:lineRule="exact"/>
        <w:rPr>
          <w:sz w:val="20"/>
          <w:szCs w:val="20"/>
          <w:color w:val="auto"/>
        </w:rPr>
      </w:pPr>
    </w:p>
    <w:p>
      <w:pPr>
        <w:spacing w:after="0" w:line="28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36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VIPER ENERGY, INC.</w:t>
      </w:r>
    </w:p>
    <w:p>
      <w:pPr>
        <w:spacing w:after="0" w:line="200" w:lineRule="exact"/>
        <w:rPr>
          <w:sz w:val="20"/>
          <w:szCs w:val="20"/>
          <w:color w:val="auto"/>
        </w:rPr>
      </w:pPr>
    </w:p>
    <w:p>
      <w:pPr>
        <w:spacing w:after="0" w:line="388" w:lineRule="exact"/>
        <w:rPr>
          <w:sz w:val="20"/>
          <w:szCs w:val="20"/>
          <w:color w:val="auto"/>
        </w:rPr>
      </w:pPr>
    </w:p>
    <w:p>
      <w:pPr>
        <w:ind w:left="4440"/>
        <w:spacing w:after="0"/>
        <w:tabs>
          <w:tab w:leader="none" w:pos="5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 Matt Zmigrosky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27940</wp:posOffset>
            </wp:positionV>
            <wp:extent cx="3651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1" w:lineRule="exact"/>
        <w:rPr>
          <w:sz w:val="20"/>
          <w:szCs w:val="20"/>
          <w:color w:val="auto"/>
        </w:rPr>
      </w:pPr>
    </w:p>
    <w:p>
      <w:pPr>
        <w:ind w:left="5300"/>
        <w:spacing w:after="0"/>
        <w:tabs>
          <w:tab w:leader="none" w:pos="6120" w:val="left"/>
        </w:tabs>
        <w:rPr>
          <w:sz w:val="20"/>
          <w:szCs w:val="20"/>
          <w:color w:val="auto"/>
        </w:rPr>
      </w:pPr>
      <w:r>
        <w:rPr>
          <w:rFonts w:ascii="Times New Roman" w:cs="Times New Roman" w:eastAsia="Times New Roman" w:hAnsi="Times New Roman"/>
          <w:sz w:val="22"/>
          <w:szCs w:val="22"/>
          <w:color w:val="auto"/>
        </w:rPr>
        <w:t>Name:</w:t>
        <w:tab/>
        <w:t>P. Matt Zmigrosky</w:t>
      </w:r>
    </w:p>
    <w:p>
      <w:pPr>
        <w:spacing w:after="0" w:line="58" w:lineRule="exact"/>
        <w:rPr>
          <w:sz w:val="20"/>
          <w:szCs w:val="20"/>
          <w:color w:val="auto"/>
        </w:rPr>
      </w:pPr>
    </w:p>
    <w:p>
      <w:pPr>
        <w:ind w:left="5300"/>
        <w:spacing w:after="0"/>
        <w:tabs>
          <w:tab w:leader="none" w:pos="6000" w:val="left"/>
        </w:tabs>
        <w:rPr>
          <w:sz w:val="20"/>
          <w:szCs w:val="20"/>
          <w:color w:val="auto"/>
        </w:rPr>
      </w:pPr>
      <w:r>
        <w:rPr>
          <w:rFonts w:ascii="Times New Roman" w:cs="Times New Roman" w:eastAsia="Times New Roman" w:hAnsi="Times New Roman"/>
          <w:sz w:val="22"/>
          <w:szCs w:val="22"/>
          <w:color w:val="auto"/>
        </w:rPr>
        <w:t>Title:</w:t>
        <w:tab/>
        <w:t>Executive Vice President, Secretary</w:t>
      </w:r>
    </w:p>
    <w:p>
      <w:pPr>
        <w:spacing w:after="0" w:line="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an</w:t>
      </w:r>
      <w:r>
        <w:rPr>
          <w:rFonts w:ascii="Times New Roman" w:cs="Times New Roman" w:eastAsia="Times New Roman" w:hAnsi="Times New Roman"/>
          <w:sz w:val="21"/>
          <w:szCs w:val="21"/>
          <w:color w:val="auto"/>
        </w:rPr>
        <w:t>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1240"/>
          </w:cols>
          <w:pgMar w:left="320" w:top="1422" w:right="339" w:bottom="1440" w:gutter="0" w:footer="0" w:header="0"/>
        </w:sectPr>
      </w:pPr>
    </w:p>
    <w:bookmarkStart w:id="41" w:name="page42"/>
    <w:bookmarkEnd w:id="4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itself and as Representative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several Underwriters named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 hereto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Daniel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287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Daniel Parisi</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i w:val="1"/>
          <w:iCs w:val="1"/>
          <w:color w:val="auto"/>
        </w:rPr>
        <w:t>[Signature Page to Underwriting Agreement]</w:t>
      </w:r>
    </w:p>
    <w:p>
      <w:pPr>
        <w:sectPr>
          <w:pgSz w:w="11900" w:h="16838" w:orient="portrait"/>
          <w:cols w:equalWidth="0" w:num="1">
            <w:col w:w="10139"/>
          </w:cols>
          <w:pgMar w:left="320" w:top="144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86"/>
        </w:trPr>
        <w:tc>
          <w:tcPr>
            <w:tcW w:w="6940" w:type="dxa"/>
            <w:vAlign w:val="bottom"/>
          </w:tcPr>
          <w:p>
            <w:pPr>
              <w:ind w:left="4960"/>
              <w:spacing w:after="0"/>
              <w:rPr>
                <w:sz w:val="20"/>
                <w:szCs w:val="20"/>
                <w:color w:val="auto"/>
              </w:rPr>
            </w:pPr>
            <w:r>
              <w:rPr>
                <w:rFonts w:ascii="Times New Roman" w:cs="Times New Roman" w:eastAsia="Times New Roman" w:hAnsi="Times New Roman"/>
                <w:sz w:val="22"/>
                <w:szCs w:val="22"/>
                <w:b w:val="1"/>
                <w:bCs w:val="1"/>
                <w:color w:val="auto"/>
              </w:rPr>
              <w:t>SCHEDULE I</w:t>
            </w:r>
          </w:p>
        </w:tc>
        <w:tc>
          <w:tcPr>
            <w:tcW w:w="2280" w:type="dxa"/>
            <w:vAlign w:val="bottom"/>
          </w:tcPr>
          <w:p>
            <w:pPr>
              <w:spacing w:after="0"/>
              <w:rPr>
                <w:sz w:val="24"/>
                <w:szCs w:val="24"/>
                <w:color w:val="auto"/>
              </w:rPr>
            </w:pPr>
          </w:p>
        </w:tc>
      </w:tr>
      <w:tr>
        <w:trPr>
          <w:trHeight w:val="704"/>
        </w:trPr>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Underwriter</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Number of Shares of</w:t>
            </w:r>
          </w:p>
        </w:tc>
      </w:tr>
      <w:tr>
        <w:trPr>
          <w:trHeight w:val="290"/>
        </w:trPr>
        <w:tc>
          <w:tcPr>
            <w:tcW w:w="69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22"/>
                <w:szCs w:val="22"/>
                <w:color w:val="auto"/>
              </w:rPr>
              <w:t>Firm Stock</w:t>
            </w:r>
          </w:p>
        </w:tc>
      </w:tr>
      <w:tr>
        <w:trPr>
          <w:trHeight w:val="256"/>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Goldman Sachs &amp; Co. LLC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BofA Securities,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Truist Securities,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Barclays Capital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Citigroup Global Markets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Raymond James &amp; Associates,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 One Securities,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Comerica Securities,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PEP Advisory LLC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Piper Sandler &amp; Co.</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PNC Capital Markets LLC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Roth Capital Partners, LLC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Scotia Capital (USA) Inc.</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82"/>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Tudor, Pickering, Holt &amp; Co. Securities, LLC</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65"/>
        </w:trPr>
        <w:tc>
          <w:tcPr>
            <w:tcW w:w="6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21"/>
        </w:trPr>
        <w:tc>
          <w:tcPr>
            <w:tcW w:w="69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39"/>
          </w:cols>
          <w:pgMar w:left="320" w:top="1418" w:right="1440" w:bottom="1440" w:gutter="0" w:footer="0" w:header="0"/>
        </w:sectPr>
      </w:pPr>
    </w:p>
    <w:bookmarkStart w:id="43" w:name="page44"/>
    <w:bookmarkEnd w:id="43"/>
    <w:p>
      <w:pPr>
        <w:jc w:val="center"/>
        <w:ind w:right="-491"/>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24"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22"/>
          <w:szCs w:val="22"/>
          <w:color w:val="auto"/>
        </w:rPr>
        <w:t>ORALLY CONVEYED PRICING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2" w:hanging="432"/>
        <w:spacing w:after="0"/>
        <w:tabs>
          <w:tab w:leader="none" w:pos="43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Public offering price</w:t>
      </w:r>
      <w:r>
        <w:rPr>
          <w:rFonts w:ascii="Times New Roman" w:cs="Times New Roman" w:eastAsia="Times New Roman" w:hAnsi="Times New Roman"/>
          <w:sz w:val="22"/>
          <w:szCs w:val="22"/>
          <w:color w:val="auto"/>
        </w:rPr>
        <w:t>: $42.50 per share of Common Stock</w:t>
      </w:r>
    </w:p>
    <w:p>
      <w:pPr>
        <w:spacing w:after="0" w:line="233" w:lineRule="exact"/>
        <w:rPr>
          <w:rFonts w:ascii="Times New Roman" w:cs="Times New Roman" w:eastAsia="Times New Roman" w:hAnsi="Times New Roman"/>
          <w:sz w:val="22"/>
          <w:szCs w:val="22"/>
          <w:color w:val="auto"/>
        </w:rPr>
      </w:pPr>
    </w:p>
    <w:p>
      <w:pPr>
        <w:ind w:left="-8" w:firstLine="8"/>
        <w:spacing w:after="0" w:line="275" w:lineRule="auto"/>
        <w:tabs>
          <w:tab w:leader="none" w:pos="20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shares offered</w:t>
      </w:r>
      <w:r>
        <w:rPr>
          <w:rFonts w:ascii="Times New Roman" w:cs="Times New Roman" w:eastAsia="Times New Roman" w:hAnsi="Times New Roman"/>
          <w:sz w:val="22"/>
          <w:szCs w:val="22"/>
          <w:color w:val="auto"/>
        </w:rPr>
        <w:t>: 10,000,000 shares of Firm Stock or, if the Underwriters exercise in full their option to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Stock granted in Section 2 hereof, 11,500,000 shares of Stock</w:t>
      </w:r>
    </w:p>
    <w:p>
      <w:pPr>
        <w:sectPr>
          <w:pgSz w:w="11900" w:h="16838" w:orient="portrait"/>
          <w:cols w:equalWidth="0" w:num="1">
            <w:col w:w="10752"/>
          </w:cols>
          <w:pgMar w:left="328" w:top="1418" w:right="819" w:bottom="1440" w:gutter="0" w:footer="0" w:header="0"/>
        </w:sectPr>
      </w:pPr>
    </w:p>
    <w:bookmarkStart w:id="44" w:name="page45"/>
    <w:bookmarkEnd w:id="4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ISSUER FREE WRITING PROSPECTUSES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45" w:name="page46"/>
    <w:bookmarkEnd w:id="45"/>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IV</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PERSONS DELIVERING LOCK-UP AGREEMENTS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E. West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Travis D. Stice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Laurie H. Argo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Spencer D. Armour,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 C. Hu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 Wesley Perry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L. Rubin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Teresa L. Dick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Albert Barkmann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 Matt Zmigrosky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Kaes Van’t Hof (director and executive officer)</w:t>
      </w:r>
    </w:p>
    <w:p>
      <w:pPr>
        <w:sectPr>
          <w:pgSz w:w="11900" w:h="16838" w:orient="portrait"/>
          <w:cols w:equalWidth="0" w:num="1">
            <w:col w:w="10139"/>
          </w:cols>
          <w:pgMar w:left="320" w:top="1440" w:right="1440" w:bottom="1440" w:gutter="0" w:footer="0" w:header="0"/>
        </w:sectPr>
      </w:pPr>
    </w:p>
    <w:bookmarkStart w:id="46" w:name="page47"/>
    <w:bookmarkEnd w:id="46"/>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V</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WRITTEN TESTING-THE-WATERS COMMUNICATIONS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18"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LOCK-UP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9"/>
          <w:szCs w:val="19"/>
          <w:color w:val="auto"/>
        </w:rPr>
        <w:t>OLDMAN</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9"/>
          <w:szCs w:val="19"/>
          <w:color w:val="auto"/>
        </w:rPr>
        <w:t>ACHS</w:t>
      </w:r>
      <w:r>
        <w:rPr>
          <w:rFonts w:ascii="Times New Roman" w:cs="Times New Roman" w:eastAsia="Times New Roman" w:hAnsi="Times New Roman"/>
          <w:sz w:val="22"/>
          <w:szCs w:val="22"/>
          <w:color w:val="auto"/>
        </w:rPr>
        <w:t xml:space="preserve"> &amp; C</w:t>
      </w:r>
      <w:r>
        <w:rPr>
          <w:rFonts w:ascii="Times New Roman" w:cs="Times New Roman" w:eastAsia="Times New Roman" w:hAnsi="Times New Roman"/>
          <w:sz w:val="19"/>
          <w:szCs w:val="19"/>
          <w:color w:val="auto"/>
        </w:rPr>
        <w:t>O</w:t>
      </w:r>
      <w:r>
        <w:rPr>
          <w:rFonts w:ascii="Times New Roman" w:cs="Times New Roman" w:eastAsia="Times New Roman" w:hAnsi="Times New Roman"/>
          <w:sz w:val="22"/>
          <w:szCs w:val="22"/>
          <w:color w:val="auto"/>
        </w:rPr>
        <w:t>. LLC</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Representative of the several</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Underwriters named in Schedule I</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to the Underwriting Agreement</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referred to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Goldman Sachs &amp; Co.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West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10282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The undersigned understands that you and certain other firms (the “</w:t>
      </w:r>
      <w:r>
        <w:rPr>
          <w:rFonts w:ascii="Times New Roman" w:cs="Times New Roman" w:eastAsia="Times New Roman" w:hAnsi="Times New Roman"/>
          <w:sz w:val="22"/>
          <w:szCs w:val="22"/>
          <w:b w:val="1"/>
          <w:bCs w:val="1"/>
          <w:i w:val="1"/>
          <w:iCs w:val="1"/>
          <w:color w:val="auto"/>
        </w:rPr>
        <w:t>Underwriters</w:t>
      </w:r>
      <w:r>
        <w:rPr>
          <w:rFonts w:ascii="Times New Roman" w:cs="Times New Roman" w:eastAsia="Times New Roman" w:hAnsi="Times New Roman"/>
          <w:sz w:val="22"/>
          <w:szCs w:val="22"/>
          <w:color w:val="auto"/>
        </w:rPr>
        <w:t>”) propose to enter into an Underwriting Agreement (the “</w:t>
      </w:r>
      <w:r>
        <w:rPr>
          <w:rFonts w:ascii="Times New Roman" w:cs="Times New Roman" w:eastAsia="Times New Roman" w:hAnsi="Times New Roman"/>
          <w:sz w:val="22"/>
          <w:szCs w:val="22"/>
          <w:b w:val="1"/>
          <w:bCs w:val="1"/>
          <w:i w:val="1"/>
          <w:iCs w:val="1"/>
          <w:color w:val="auto"/>
        </w:rPr>
        <w:t>Underwriting Agreement</w:t>
      </w:r>
      <w:r>
        <w:rPr>
          <w:rFonts w:ascii="Times New Roman" w:cs="Times New Roman" w:eastAsia="Times New Roman" w:hAnsi="Times New Roman"/>
          <w:sz w:val="22"/>
          <w:szCs w:val="22"/>
          <w:color w:val="auto"/>
        </w:rPr>
        <w:t>”) providing for the purchase by the Underwriters of shares (the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of Class A common stock, par value $0.000001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of Viper Energy,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that the Underwriters propose to reoffer the Stock to the public (the “</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Capitalized terms used but not defined herein shall have the meanings given to them in the Underwriting Agreement.</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In consideration of the execution of the Underwriting Agreement by the Underwriters, and for other good and valuable consideration, the undersigned hereby irrevocably agrees that, without the prior written consent of Goldman Sachs &amp; Co. LLC, on behalf of the Underwriters, the undersigned will not, directly or indirectly, (1) offer for sale, sell, pledge, lend, or otherwise dispose of (or enter into any transaction or device that is designed to, or could be expected to, result in the disposition by any person at any time in the future of) any Common Stock (including, without limitation, Common Stock that may be deemed to be beneficially owned by the undersigned in accordance with the rules and regulations of the Securities and Exchange Commission and Common Stock that may be issued upon exercise of any options or warrants) or securities convertible into or exercisable or exchangeable for Common Stock (other than in connection with the Offering), (2) enter into any swap or other derivatives transaction that transfers to another, in whole or in part, any of the economic benefits or risks of ownership of Common Stock whether any such transaction described in clause (1) or (2) above is to be settled by delivery of Common Stock, or other securities, in cash or otherwise, (3) make any demand for or exercise any right or cause to be filed a registration statement, including any amendments thereto, with respect to the registration of any Common Stock or securities convertible into or exercisable or exchangeable for Common Stock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65" w:right="339" w:bottom="1440" w:gutter="0" w:footer="0" w:header="0"/>
        </w:sectPr>
      </w:pPr>
    </w:p>
    <w:bookmarkStart w:id="48" w:name="page49"/>
    <w:bookmarkEnd w:id="48"/>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other securities of the Company, or (4) publicly disclose the intention to do any of the foregoing for a period commencing on the date hereof and ending on the 45th day after the date of the Prospectus relating to the Offering (such 45-day period, the “</w:t>
      </w:r>
      <w:r>
        <w:rPr>
          <w:rFonts w:ascii="Times New Roman" w:cs="Times New Roman" w:eastAsia="Times New Roman" w:hAnsi="Times New Roman"/>
          <w:sz w:val="22"/>
          <w:szCs w:val="22"/>
          <w:b w:val="1"/>
          <w:bCs w:val="1"/>
          <w:i w:val="1"/>
          <w:iCs w:val="1"/>
          <w:color w:val="auto"/>
        </w:rPr>
        <w:t>Lock-Up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(other than any disclosure related to the Offering).</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The foregoing paragraph shall not apply to (a) transactions relating to Common Stock or other securities acquired in the open market after the completion of the Offering, (b) bona fide gifts, sales or other dispositions of any class of the Company’s stock, in each case that are made exclusively between and among the undersigned or members of the undersigned’s family, or affiliates of the undersigned, including its partners (if a partnership) or members (if a limited liability company);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it shall be a condition to any transfer pursuant to this clause (b) that (i) the transferee/donee agrees to be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terms of this Lock-Up Letter Agreement (including, without limitation, the restrictions set forth in the preceding sentence) to the same extent as if the transferee/donee were a party hereto, (ii)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and (iii) the undersigned notifies the Representative at least two business days prior to the proposed transfer or disposition, (c) the exercise of warrants or the exercise of options granted pursuant to the Company’s option/incentive plans or otherwise outstanding on the date hereof that are disclosed in the Pricing Disclosure Package and Prospectus;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restrictions shall apply to Common Stock issued upon such exercise or conversion, (d) any demands or requests for, exercise any right with respect to, or take any action in preparation of, the registration by the Company under the Securities Act of the undersigned’s Common Stock , provided that no transfer of the undersigned’s Common Stock registered pursuant to the exercise of any such right and no registration statement shall be filed or submitted under the Securities Act with respect to any of the undersigned’s Common Stock during the Lock-Up Period and (e) assignments, transfers or other dispositions by any of the directors of the Company or an affiliate thereof of any class of the Company’s Stock or securities convertible into or exercisable or exchangeable for Common Stock issued pursuant to employee benefit plans, qualified option plans or other employee compensation plans existing on the date hereof and that are disclosed in the Pricing Disclosure Package and Prospectus; provided that it shall be a condition to any transfer pursuant to this clause (e) that: (x) the transferee/assignee/donee agrees in writing to be bound by the terms of this Lock-Up Letter Agreement (including, without limitation, the restrictions set forth in the preceding sentence) to the same extent as if the transferee/assignee/donee were a party hereto but only with respect to the Stock or securities so transferred/assigned/donated and (y) such transfer/assignment/donation shall not involve any Form 4 filing or public announcement by any party (donor, donee, transferor or transferee) under the Exchange Act or otherwise unless such filing or announcement prominently discloses that the transfer/assignment/donation is a related party transfer and that the transferee/assignee/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donee will be bound by the terms of the Lock-Up Letter Agreement with respect to the Stock or securities so transferred/assigned/donated as provided for in clause (x).</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It is understood that, if the Company notifies the Underwriters that it does not intend to proceed with the Offering, if the Underwriting Agreement does not become effective, or if the Underwriting Agreement (other than the provisions thereof which survive termination) shall terminate or be terminated prior to payment for and delivery of the Stock, the undersigned will be released from its obligations under this Lock-Up Letter Agreement.</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undersigned understands that the Company and the Underwriters will proceed with the Offering in reliance on this Lock-Up Letter Agreement.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This Lock-Up Letter Agreement shall automatically terminate upon the termination of the Underwriting Agreement before the sale of any Stock to the Underwriters.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Lock-Up Letter Agreement and any claim, controversy or dispute arising under or related to this Lock-Up Letter Agreement shall be governed by and construed in accordance with the laws of the State of New York.</w:t>
      </w:r>
    </w:p>
    <w:p>
      <w:pPr>
        <w:spacing w:after="0" w:line="15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The undersigned further acknowledges and agrees that, although the Representative may be required or choose to provide certain Regulation Best Interest and Form CRS disclosures to you in connection with the Offering, the Representative and the other Underwriters are not making a recommendation to you to enter into this Lock-Up Letter Agreement, and nothing set forth in such disclosures is intended to suggest that the Representative or any Underwriter is making such a recommendation.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By:______________________________</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WRITTEN TESTING-THE-WATERS COMMUNICATION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10,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&amp; Co.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Securities,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Goldman Sachs &amp; Co.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 West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10282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BofA Securities,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Truist Securities, Inc.</w:t>
      </w:r>
    </w:p>
    <w:p>
      <w:pPr>
        <w:spacing w:after="0" w:line="25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“Testing the Waters” Authorization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0" w:lineRule="exact"/>
        <w:rPr>
          <w:sz w:val="20"/>
          <w:szCs w:val="20"/>
          <w:color w:val="auto"/>
        </w:rPr>
      </w:pPr>
    </w:p>
    <w:p>
      <w:pPr>
        <w:spacing w:after="0" w:line="2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reliance on Rule 163B under the Securities Act of 1933, as amended (the “Act”), Viper Energy, Inc. (the “Issuer”) hereby authorizes Goldman Sachs &amp; Co. LLC (“Goldman Sachs”), BofA Securities, Inc. (“BofA”) and Truist Securities, Inc. (“Truist”), and their affiliates and their respective employees to engage on behalf of the Issuer in oral and written communications with potential investors that are reasonably believed to be “qualified institutional buyers”, as defined in Rule 144A under the Act, or institutions that are “accredited investors”, within the meaning of Rule 501(a)(1), (a)(2), (a)(3), (a)(7), (a)(8), (a)(9), (a)(12) or (a)(13) under the Act, to determine whether such investors might have an interest in the Issuer’s contemplated public offering (“Testing-the-Waters Communications”).</w:t>
      </w:r>
    </w:p>
    <w:p>
      <w:pPr>
        <w:spacing w:after="0" w:line="1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A “Written Testing-the Waters Communication” means any Testing-the-Waters Communication that is a written communication within the meaning of Rule 405 under the Act. Goldman Sachs, BofA and Truist agree that they shall not distribute any Written Testing the Waters Communication that has not been approved by the Issuer.</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Goldman Sachs, BofA and Truist, and will promptly amend or supplement, at its own expense, such Written Testing-the-Waters Communication to eliminate or correct such untrue statement or omission.</w:t>
      </w:r>
    </w:p>
    <w:p>
      <w:pPr>
        <w:spacing w:after="0" w:line="19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Nothing in this authorization is intended to limit or otherwise affect the ability of Goldman Sachs, BofA and Truist, and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Goldman Sachs, BofA and Truist a written notice revoking this authorization. All notices as described herein shall be sent by email to the attention of c/o Goldman Sachs &amp; Co. LLC, Matt Leavitt at Matt.Leavitt@gs.com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and Gabe Gelman at Gabriel.Gelman@ny.ibd.emal.gs.com; c/o BofA Securities, Inc., So Young Lee at soyoung.lee@bofa.com; and c/o Truist Securities, Inc., Randhir Patil at Randhir.Patil@Truist.com.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760"/>
          </w:cols>
          <w:pgMar w:left="320" w:top="1440" w:right="81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Sincerely,</w:t>
      </w:r>
    </w:p>
    <w:p>
      <w:pPr>
        <w:spacing w:after="0" w:line="314"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22"/>
          <w:szCs w:val="22"/>
          <w:color w:val="auto"/>
        </w:rPr>
        <w:t>VIPER ENERGY,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-160020</wp:posOffset>
            </wp:positionV>
            <wp:extent cx="2451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019"/>
          </w:cols>
          <w:pgMar w:left="1440" w:top="1440" w:right="1440" w:bottom="1440" w:gutter="0" w:footer="0" w:header="0"/>
        </w:sectPr>
      </w:pPr>
    </w:p>
    <w:bookmarkStart w:id="54" w:name="page55"/>
    <w:bookmarkEnd w:id="54"/>
    <w:p>
      <w:pPr>
        <w:ind w:left="10340"/>
        <w:spacing w:after="0"/>
        <w:rPr>
          <w:sz w:val="20"/>
          <w:szCs w:val="20"/>
          <w:color w:val="auto"/>
        </w:rPr>
      </w:pPr>
      <w:r>
        <w:rPr>
          <w:rFonts w:ascii="Times New Roman" w:cs="Times New Roman" w:eastAsia="Times New Roman" w:hAnsi="Times New Roman"/>
          <w:sz w:val="20"/>
          <w:szCs w:val="20"/>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82550</wp:posOffset>
            </wp:positionV>
            <wp:extent cx="82296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13,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Viper Energy,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West Texas, Suite 100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Midland, Texas 79701</w:t>
      </w:r>
    </w:p>
    <w:p>
      <w:pPr>
        <w:spacing w:after="0" w:line="2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Viper Energy, Inc. Registration Statement on Form S-3/ASR File No. 333-232039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have acted as counsel to Viper Energy,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registration, pursuant to a Registration Statement on Form S-3/ASR (File No. 333-232039)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filed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of the offering and sale by the Company of 11,500,000 shares (including 1,500,000 shares subject to the Underwriters’ (as defined below) option to purchase additional shares, which was exercised in full on September 12, 2024)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Class A Common Stock, par value $0.000001 per share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pursuant to the terms of an underwriting agreement (the “</w:t>
      </w:r>
      <w:r>
        <w:rPr>
          <w:rFonts w:ascii="Times New Roman" w:cs="Times New Roman" w:eastAsia="Times New Roman" w:hAnsi="Times New Roman"/>
          <w:sz w:val="22"/>
          <w:szCs w:val="22"/>
          <w:b w:val="1"/>
          <w:bCs w:val="1"/>
          <w:i w:val="1"/>
          <w:iCs w:val="1"/>
          <w:color w:val="auto"/>
        </w:rPr>
        <w:t>Underwriting Agreement</w:t>
      </w:r>
      <w:r>
        <w:rPr>
          <w:rFonts w:ascii="Times New Roman" w:cs="Times New Roman" w:eastAsia="Times New Roman" w:hAnsi="Times New Roman"/>
          <w:sz w:val="22"/>
          <w:szCs w:val="22"/>
          <w:color w:val="auto"/>
        </w:rPr>
        <w:t>”), dated September 11, 2024, by and between the Company and Goldman Sachs &amp; Co. LLC, as representative of the several underwriters named therein (the “</w:t>
      </w:r>
      <w:r>
        <w:rPr>
          <w:rFonts w:ascii="Times New Roman" w:cs="Times New Roman" w:eastAsia="Times New Roman" w:hAnsi="Times New Roman"/>
          <w:sz w:val="22"/>
          <w:szCs w:val="22"/>
          <w:b w:val="1"/>
          <w:bCs w:val="1"/>
          <w:i w:val="1"/>
          <w:iCs w:val="1"/>
          <w:color w:val="auto"/>
        </w:rPr>
        <w:t>Underwriters</w:t>
      </w:r>
      <w:r>
        <w:rPr>
          <w:rFonts w:ascii="Times New Roman" w:cs="Times New Roman" w:eastAsia="Times New Roman" w:hAnsi="Times New Roman"/>
          <w:sz w:val="22"/>
          <w:szCs w:val="22"/>
          <w:color w:val="auto"/>
        </w:rPr>
        <w:t>”). This opinion is being furnished in accordance with the requirements of Item 601(b)(5) of Regulation S-K under the Act.</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We have examined originals or certified copies of (i) the Underwriting Agreement and (ii) such corporate records of the Company and other certificates and documents of officials of the Company and public officials and others as we have deemed appropriate for purposes of this letter. We have assumed the genuineness of all signatures, the legal capacity of all natural persons, the authenticity of all documents submitted to us as originals and the conformity to authentic original documents of all copies submitted to us as conformed, certified or reproduced copies. We have also assumed that the Shares are uncertificated and, upon sale and delivery, valid book-entry notations for the issuance of the Shares in uncertificated form will have been duly made in the share register of the Company. We have also assumed the existence and entity power of each party to any document referred to herein other than the Company. As to various questions of fact relevant to this letter, we have relied, without independent investigation, upon certificates of public officials and certificates of officers of the Company, all of which we assume to be true, correct and complete.</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Based upon the foregoing, and subject to the assumptions, exceptions, qualifications and limitations set forth herein, we are of the opinion that, when the Shares have been issued and delivered in accordance with the Underwriting Agreement against payment in full of the consideration payable therefor as determined by the Board of Directors of the Company or a duly authorized committee thereof and as contemplated by the Underwriting Agreement, the Shares</w:t>
      </w:r>
    </w:p>
    <w:p>
      <w:pPr>
        <w:sectPr>
          <w:pgSz w:w="11900" w:h="16838" w:orient="portrait"/>
          <w:cols w:equalWidth="0" w:num="1">
            <w:col w:w="11240"/>
          </w:cols>
          <w:pgMar w:left="320" w:top="1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Viper Energy,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13,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will have been duly authorized by all necessary corporate action on the part of the Company and validly issued and will be fully paid and non-assessable.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opinion and other matters in this letter are qualified in their entirety and subject to the following:</w:t>
      </w:r>
    </w:p>
    <w:p>
      <w:pPr>
        <w:spacing w:after="0" w:line="220"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express no opinion as to the laws of any jurisdiction other than the Delaware General Corporation Law.</w:t>
      </w:r>
    </w:p>
    <w:p>
      <w:pPr>
        <w:spacing w:after="0" w:line="233" w:lineRule="exact"/>
        <w:rPr>
          <w:rFonts w:ascii="Times New Roman" w:cs="Times New Roman" w:eastAsia="Times New Roman" w:hAnsi="Times New Roman"/>
          <w:sz w:val="22"/>
          <w:szCs w:val="22"/>
          <w:color w:val="auto"/>
        </w:rPr>
      </w:pPr>
    </w:p>
    <w:p>
      <w:pPr>
        <w:jc w:val="both"/>
        <w:ind w:left="340" w:hanging="332"/>
        <w:spacing w:after="0" w:line="252" w:lineRule="auto"/>
        <w:tabs>
          <w:tab w:leader="none" w:pos="3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is limited to the matters expressly stated herein and no opinion is to be inferred or implied beyond the opinion expressly set forth herein. We undertake no, and hereby disclaim any, obligation to make any inquiry after the date hereof or to advise you of any changes in any matter set forth herein, whether based on a change in the law, a change in any fact relating to the Company or any other person or entity or any other circumstance.</w:t>
      </w:r>
    </w:p>
    <w:p>
      <w:pPr>
        <w:spacing w:after="0" w:line="179" w:lineRule="exact"/>
        <w:rPr>
          <w:rFonts w:ascii="Times New Roman" w:cs="Times New Roman" w:eastAsia="Times New Roman" w:hAnsi="Times New Roman"/>
          <w:sz w:val="22"/>
          <w:szCs w:val="22"/>
          <w:color w:val="auto"/>
        </w:rPr>
      </w:pPr>
    </w:p>
    <w:p>
      <w:pPr>
        <w:jc w:val="both"/>
        <w:ind w:left="340" w:hanging="332"/>
        <w:spacing w:after="0" w:line="251" w:lineRule="auto"/>
        <w:tabs>
          <w:tab w:leader="none" w:pos="3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matters expressed in this letter are subject to and qualified and limited by (i) applicable bankruptcy, insolvency, fraudulent transfer and conveyance, reorganization, moratorium and similar laws affecting creditors’ rights and remedies generally; (ii) general principles of equity, including without limitation, concepts of materiality, reasonableness, good faith and fair dealing and the possible unavailability of specific performance or injunctive relief (regardless of whether considered in a proceeding in equity or at law); and (iii) securities laws and public policy underlying such laws with respect to rights to indemnification and contribution.</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hereby consent to the filing of this letter as an exhibit to a Current Report on Form 8-K filed by the Company with the Commission on or about the date hereof, to the incorporation by reference of this letter into the Registration Statement and to the use of our name in the Prospectus dated September 11, 2024, Preliminary Prospectus Supplement dated September 11, 2024 and the Final Prospectus Supplement dated September 11, 2024, forming a part of the Registration Statement under the caption “Legal Matters.” In giving this consent, we do not thereby admit that we are within the category of persons whose consent is required under Section 7 of the Act and the rules and regulations thereunder.</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AKIN GUMP STRAUSS HAUER &amp; FELD LLP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AKIN GUMP STRAUSS HAUER &amp; FELD LLP</w:t>
      </w:r>
    </w:p>
    <w:p>
      <w:pPr>
        <w:sectPr>
          <w:pgSz w:w="11900" w:h="16838" w:orient="portrait"/>
          <w:cols w:equalWidth="0" w:num="1">
            <w:col w:w="11240"/>
          </w:cols>
          <w:pgMar w:left="320" w:top="61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9"/>
          <w:szCs w:val="29"/>
          <w:b w:val="1"/>
          <w:bCs w:val="1"/>
          <w:color w:val="auto"/>
        </w:rPr>
        <w:t>VIPER ENERGY ANNOUNCES PRICING OF UPSIZED CLASS A COMMON STOCK OFFERING</w:t>
      </w:r>
    </w:p>
    <w:p>
      <w:pPr>
        <w:spacing w:after="0" w:line="3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MIDLAND, Texas, September 11, 2024 (GLOBE NEWSWIRE) – Viper Energy, Inc. (NASDAQ: VNOM) (“Viper”) announced today the pricing of an underwritten public offering of 10,000,000 shares of its Class A common stock at a price to the public of $42.50 per share (the “Primary Offering”). Viper’s offering of 10,000,000 shares of Class A common stock represents a 1,500,000 share upsize to the originally proposed 8,500,000 share offering. The underwriters have a 30-day option to purchase up to an additional 1,500,000 shares of Class A common stock from Viper at the public offering price (less the underwriting discount).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Net proceeds to Viper from the sale of the 10,000,000 shares of its Class A common stock, after the underwriting discount and estimated offering expenses, will be approximately $413.7 million (or $475.9 million, if the underwriters exercise their option in full).</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Viper intends to use the net proceeds from the Primary Offering, together with cash on hand and borrowings under its revolving credit facility, to fund a portion of the cash consideration for its previously announced pending acquisition of certain mineral and royalty-interest owning subsidiaries of Tumbleweed Royalty IV, LLC (the “Pending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Primary Offering is expected to close on September 13, 2024, subject to customary closing conditions.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Goldman Sachs &amp; Co. LLC, BofA Securities and Truist Securities are acting as joint book-running managers for the Primary Offering. Copies of the written base prospectus and prospectus supplement for the Primary Offering may be obtained on the website of the Securities and Exchange Commission, www.sec.gov or, when available, may be obtained from Goldman Sachs &amp; Co. LLC, 200 West Street, New York, NY 10282, Attention: Prospectus Department, by telephone at (866) 471-2526 or by emailing prospectus-ny@ny.email.gs.com, BofA Securities, NC1-022-02-25, 201 North Tryon Street, Charlotte, NC 28255-0001, Attn: Prospectus Department, or by emailing </w:t>
      </w:r>
      <w:r>
        <w:rPr>
          <w:rFonts w:ascii="Times New Roman" w:cs="Times New Roman" w:eastAsia="Times New Roman" w:hAnsi="Times New Roman"/>
          <w:sz w:val="22"/>
          <w:szCs w:val="22"/>
          <w:u w:val="single" w:color="auto"/>
          <w:color w:val="auto"/>
        </w:rPr>
        <w:t>dg.prospectus_requests@bofa.com;</w:t>
      </w:r>
      <w:r>
        <w:rPr>
          <w:rFonts w:ascii="Times New Roman" w:cs="Times New Roman" w:eastAsia="Times New Roman" w:hAnsi="Times New Roman"/>
          <w:sz w:val="22"/>
          <w:szCs w:val="22"/>
          <w:color w:val="auto"/>
        </w:rPr>
        <w:t xml:space="preserve"> and Truist Securities, Inc., Attention: Equity Capital Markets, 3333 Peachtree Road NE, 9th Floor, Atlanta, GA 30326, by telephone at (800) 685-4786, or by emailing truistsecurities.prospectus@truist.com.</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Class A common stock will be issued and sold pursuant to an effective automatic shelf registration statement on Form S-3ASR previously filed with the Securities and Exchange Commission (the “Registration Statement”).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such state or jurisdiction. The Primary Offering may only be made by means of a prospectus supplement and related base prospectus.</w:t>
      </w:r>
    </w:p>
    <w:p>
      <w:pPr>
        <w:sectPr>
          <w:pgSz w:w="11900" w:h="16838" w:orient="portrait"/>
          <w:cols w:equalWidth="0" w:num="1">
            <w:col w:w="11240"/>
          </w:cols>
          <w:pgMar w:left="320" w:top="338" w:right="339" w:bottom="1440" w:gutter="0" w:footer="0" w:header="0"/>
        </w:sectPr>
      </w:pPr>
    </w:p>
    <w:bookmarkStart w:id="57" w:name="page58"/>
    <w:bookmarkEnd w:id="5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Viper Energy, Inc.</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Viper is a publicly traded Delaware corporation that owns and acquires mineral and royalty interests in oil and natural gas properties primarily in the Permian Basin.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Cautionary Note Regarding Forward-Looking Statements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information in this press release includes “forward-looking statements” within the meaning of Section 27A of the Securities Act and Section 21E of the Securities Exchange Act of 1934, as amended. All statements, other than statements of historical fact included in this press release, regarding the completion of the Primary Offering, Viper’s strategy, future operations, financial position, estimated revenues and losses, projected costs, prospects, plans and objectives of management are forward-looking statements. When used in this press release, the words “could,” “may,” “believe,” “anticipate,” “intend,” “estimate,” “expect,” “project,” “goal,” “plan,” “target” and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Be cautioned that these forward-looking statements are subject to all of the risk and uncertainties, most of which are difficult to predict and many of which are beyond Viper’s control, incident to the development, production, gathering and sale of oil and natural gas. These risks include, but are not limited to, commodity price volatility, inflation, lack of availability of drilling and production equipment and services, risks relating to the Pending Acquisition, including its consummation or the realization of the anticipated benefits and synergies therefrom. Actual results could differ materially from those anticipated in these forward-looking statements as a result of certain factors, including, but not limited to, those set forth in Viper’s filings with the SEC, including the prospectus and prospectus supplement relating to the Primary Offering, the Registration Statement, its Annual Report on Form 10-K for the fiscal year ended December 31, 2023, under the caption “Risk Factors,” as may be updated from time to time in Viper’s periodic filings with the SEC. Any forward-looking statement in this press release speaks only as of the date of this release. Viper undertakes no obligation to publicly update or review any forward-looking statement, whether as a result of new information, future developments or otherwise, except as may be required by any applicable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Adam Lawlis</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+1 432.221.7467</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alawlis@diamondbackenergy.com</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Austen Gilfillian</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+1 432.221.7420</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agilfillian@diamondbackenergy.com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lvl w:ilvl="1">
      <w:lvlJc w:val="left"/>
      <w:lvlText w:val="%2"/>
      <w:numFmt w:val="decimal"/>
      <w:start w:val="104"/>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5">
    <w:nsid w:val="614FD4A1"/>
    <w:multiLevelType w:val="hybridMultilevel"/>
    <w:lvl w:ilvl="0">
      <w:lvlJc w:val="left"/>
      <w:lvlText w:val="(%1)"/>
      <w:numFmt w:val="lowerRoman"/>
      <w:start w:val="9"/>
    </w:lvl>
  </w:abstractNum>
  <w:abstractNum w:abstractNumId="6">
    <w:nsid w:val="419AC241"/>
    <w:multiLevelType w:val="hybridMultilevel"/>
    <w:lvl w:ilvl="0">
      <w:lvlJc w:val="left"/>
      <w:lvlText w:val="(%1)"/>
      <w:numFmt w:val="lowerLetter"/>
      <w:start w:val="2"/>
    </w:lvl>
  </w:abstractNum>
  <w:abstractNum w:abstractNumId="7">
    <w:nsid w:val="5577F8E1"/>
    <w:multiLevelType w:val="hybridMultilevel"/>
    <w:lvl w:ilvl="0">
      <w:lvlJc w:val="left"/>
      <w:lvlText w:val="(%1)"/>
      <w:numFmt w:val="lowerLetter"/>
      <w:start w:val="4"/>
    </w:lvl>
  </w:abstractNum>
  <w:abstractNum w:abstractNumId="8">
    <w:nsid w:val="440BADFC"/>
    <w:multiLevelType w:val="hybridMultilevel"/>
    <w:lvl w:ilvl="0">
      <w:lvlJc w:val="left"/>
      <w:lvlText w:val="(%1)"/>
      <w:numFmt w:val="lowerLetter"/>
      <w:start w:val="9"/>
    </w:lvl>
  </w:abstractNum>
  <w:abstractNum w:abstractNumId="9">
    <w:nsid w:val="5072367"/>
    <w:multiLevelType w:val="hybridMultilevel"/>
    <w:lvl w:ilvl="0">
      <w:lvlJc w:val="left"/>
      <w:lvlText w:val="%1"/>
      <w:numFmt w:val="lowerLetter"/>
      <w:start w:val="1"/>
    </w:lvl>
    <w:lvl w:ilvl="1">
      <w:lvlJc w:val="left"/>
      <w:lvlText w:val="(%2)"/>
      <w:numFmt w:val="lowerLetter"/>
      <w:start w:val="13"/>
    </w:lvl>
  </w:abstractNum>
  <w:abstractNum w:abstractNumId="10">
    <w:nsid w:val="3804823E"/>
    <w:multiLevelType w:val="hybridMultilevel"/>
    <w:lvl w:ilvl="0">
      <w:lvlJc w:val="left"/>
      <w:lvlText w:val="(%1)"/>
      <w:numFmt w:val="lowerLetter"/>
      <w:start w:val="9"/>
    </w:lvl>
    <w:lvl w:ilvl="1">
      <w:lvlJc w:val="left"/>
      <w:lvlText w:val="(%2)"/>
      <w:numFmt w:val="lowerLetter"/>
      <w:start w:val="14"/>
    </w:lvl>
  </w:abstractNum>
  <w:abstractNum w:abstractNumId="11">
    <w:nsid w:val="77465F01"/>
    <w:multiLevelType w:val="hybridMultilevel"/>
    <w:lvl w:ilvl="0">
      <w:lvlJc w:val="left"/>
      <w:lvlText w:val="(%1)"/>
      <w:numFmt w:val="lowerLetter"/>
      <w:start w:val="18"/>
    </w:lvl>
  </w:abstractNum>
  <w:abstractNum w:abstractNumId="12">
    <w:nsid w:val="7724C67E"/>
    <w:multiLevelType w:val="hybridMultilevel"/>
    <w:lvl w:ilvl="0">
      <w:lvlJc w:val="left"/>
      <w:lvlText w:val="%1"/>
      <w:numFmt w:val="lowerLetter"/>
      <w:start w:val="1"/>
    </w:lvl>
    <w:lvl w:ilvl="1">
      <w:lvlJc w:val="left"/>
      <w:lvlText w:val="(%2)"/>
      <w:numFmt w:val="lowerLetter"/>
      <w:start w:val="25"/>
    </w:lvl>
  </w:abstractNum>
  <w:abstractNum w:abstractNumId="13">
    <w:nsid w:val="5C482A97"/>
    <w:multiLevelType w:val="hybridMultilevel"/>
    <w:lvl w:ilvl="0">
      <w:lvlJc w:val="left"/>
      <w:lvlText w:val="(%1)"/>
      <w:numFmt w:val="lowerLetter"/>
      <w:start w:val="25"/>
    </w:lvl>
    <w:lvl w:ilvl="1">
      <w:lvlJc w:val="left"/>
      <w:lvlText w:val="(%2)"/>
      <w:numFmt w:val="lowerLetter"/>
      <w:start w:val="26"/>
    </w:lvl>
  </w:abstractNum>
  <w:abstractNum w:abstractNumId="14">
    <w:nsid w:val="2463B9EA"/>
    <w:multiLevelType w:val="hybridMultilevel"/>
    <w:lvl w:ilvl="0">
      <w:lvlJc w:val="left"/>
      <w:lvlText w:val="(%1)"/>
      <w:numFmt w:val="lowerLetter"/>
      <w:start w:val="27"/>
    </w:lvl>
  </w:abstractNum>
  <w:abstractNum w:abstractNumId="15">
    <w:nsid w:val="5E884ADC"/>
    <w:multiLevelType w:val="hybridMultilevel"/>
    <w:lvl w:ilvl="0">
      <w:lvlJc w:val="left"/>
      <w:lvlText w:val="(%1)"/>
      <w:numFmt w:val="lowerLetter"/>
      <w:start w:val="29"/>
    </w:lvl>
  </w:abstractNum>
  <w:abstractNum w:abstractNumId="16">
    <w:nsid w:val="51EAD36B"/>
    <w:multiLevelType w:val="hybridMultilevel"/>
    <w:lvl w:ilvl="0">
      <w:lvlJc w:val="left"/>
      <w:lvlText w:val="(%1)"/>
      <w:numFmt w:val="lowerLetter"/>
      <w:start w:val="32"/>
    </w:lvl>
  </w:abstractNum>
  <w:abstractNum w:abstractNumId="17">
    <w:nsid w:val="2D517796"/>
    <w:multiLevelType w:val="hybridMultilevel"/>
    <w:lvl w:ilvl="0">
      <w:lvlJc w:val="left"/>
      <w:lvlText w:val="(%1)"/>
      <w:numFmt w:val="lowerLetter"/>
      <w:start w:val="34"/>
    </w:lvl>
  </w:abstractNum>
  <w:abstractNum w:abstractNumId="18">
    <w:nsid w:val="580BD78F"/>
    <w:multiLevelType w:val="hybridMultilevel"/>
    <w:lvl w:ilvl="0">
      <w:lvlJc w:val="left"/>
      <w:lvlText w:val="(%1)"/>
      <w:numFmt w:val="lowerLetter"/>
      <w:start w:val="39"/>
    </w:lvl>
  </w:abstractNum>
  <w:abstractNum w:abstractNumId="19">
    <w:nsid w:val="153EA438"/>
    <w:multiLevelType w:val="hybridMultilevel"/>
    <w:lvl w:ilvl="0">
      <w:lvlJc w:val="left"/>
      <w:lvlText w:val="%1"/>
      <w:numFmt w:val="lowerLetter"/>
      <w:start w:val="1"/>
    </w:lvl>
    <w:lvl w:ilvl="1">
      <w:lvlJc w:val="left"/>
      <w:lvlText w:val="(%2)"/>
      <w:numFmt w:val="lowerLetter"/>
      <w:start w:val="41"/>
    </w:lvl>
  </w:abstractNum>
  <w:abstractNum w:abstractNumId="20">
    <w:nsid w:val="3855585C"/>
    <w:multiLevelType w:val="hybridMultilevel"/>
    <w:lvl w:ilvl="0">
      <w:lvlJc w:val="left"/>
      <w:lvlText w:val="(%1)"/>
      <w:numFmt w:val="lowerLetter"/>
      <w:start w:val="35"/>
    </w:lvl>
    <w:lvl w:ilvl="1">
      <w:lvlJc w:val="left"/>
      <w:lvlText w:val="(%2)"/>
      <w:numFmt w:val="lowerLetter"/>
      <w:start w:val="42"/>
    </w:lvl>
  </w:abstractNum>
  <w:abstractNum w:abstractNumId="21">
    <w:nsid w:val="70A64E2A"/>
    <w:multiLevelType w:val="hybridMultilevel"/>
    <w:lvl w:ilvl="0">
      <w:lvlJc w:val="left"/>
      <w:lvlText w:val="(%1)"/>
      <w:numFmt w:val="lowerLetter"/>
      <w:start w:val="44"/>
    </w:lvl>
  </w:abstractNum>
  <w:abstractNum w:abstractNumId="22">
    <w:nsid w:val="6A2342EC"/>
    <w:multiLevelType w:val="hybridMultilevel"/>
    <w:lvl w:ilvl="0">
      <w:lvlJc w:val="left"/>
      <w:lvlText w:val="(%1)"/>
      <w:numFmt w:val="lowerLetter"/>
      <w:start w:val="47"/>
    </w:lvl>
  </w:abstractNum>
  <w:abstractNum w:abstractNumId="23">
    <w:nsid w:val="2A487CB0"/>
    <w:multiLevelType w:val="hybridMultilevel"/>
    <w:lvl w:ilvl="0">
      <w:lvlJc w:val="left"/>
      <w:lvlText w:val="(%1)"/>
      <w:numFmt w:val="lowerLetter"/>
      <w:start w:val="50"/>
    </w:lvl>
  </w:abstractNum>
  <w:abstractNum w:abstractNumId="24">
    <w:nsid w:val="1D4ED43B"/>
    <w:multiLevelType w:val="hybridMultilevel"/>
    <w:lvl w:ilvl="0">
      <w:lvlJc w:val="left"/>
      <w:lvlText w:val="(%1)"/>
      <w:numFmt w:val="lowerLetter"/>
      <w:start w:val="53"/>
    </w:lvl>
  </w:abstractNum>
  <w:abstractNum w:abstractNumId="25">
    <w:nsid w:val="725A06FB"/>
    <w:multiLevelType w:val="hybridMultilevel"/>
    <w:lvl w:ilvl="0">
      <w:lvlJc w:val="left"/>
      <w:lvlText w:val="%1."/>
      <w:numFmt w:val="decimal"/>
      <w:start w:val="2"/>
    </w:lvl>
  </w:abstractNum>
  <w:abstractNum w:abstractNumId="26">
    <w:nsid w:val="2CD89A32"/>
    <w:multiLevelType w:val="hybridMultilevel"/>
    <w:lvl w:ilvl="0">
      <w:lvlJc w:val="left"/>
      <w:lvlText w:val="%1."/>
      <w:numFmt w:val="decimal"/>
      <w:start w:val="3"/>
    </w:lvl>
  </w:abstractNum>
  <w:abstractNum w:abstractNumId="27">
    <w:nsid w:val="57E4CCAF"/>
    <w:multiLevelType w:val="hybridMultilevel"/>
    <w:lvl w:ilvl="0">
      <w:lvlJc w:val="left"/>
      <w:lvlText w:val="%1."/>
      <w:numFmt w:val="decimal"/>
      <w:start w:val="5"/>
    </w:lvl>
  </w:abstractNum>
  <w:abstractNum w:abstractNumId="28">
    <w:nsid w:val="7A6D8D3C"/>
    <w:multiLevelType w:val="hybridMultilevel"/>
    <w:lvl w:ilvl="0">
      <w:lvlJc w:val="left"/>
      <w:lvlText w:val="(%1)"/>
      <w:numFmt w:val="lowerLetter"/>
      <w:start w:val="1"/>
    </w:lvl>
    <w:lvl w:ilvl="1">
      <w:lvlJc w:val="left"/>
      <w:lvlText w:val="(%2)"/>
      <w:numFmt w:val="lowerLetter"/>
      <w:start w:val="9"/>
    </w:lvl>
  </w:abstractNum>
  <w:abstractNum w:abstractNumId="29">
    <w:nsid w:val="4B588F54"/>
    <w:multiLevelType w:val="hybridMultilevel"/>
    <w:lvl w:ilvl="0">
      <w:lvlJc w:val="left"/>
      <w:lvlText w:val="(%1)"/>
      <w:numFmt w:val="lowerRoman"/>
      <w:start w:val="2"/>
    </w:lvl>
  </w:abstractNum>
  <w:abstractNum w:abstractNumId="30">
    <w:nsid w:val="542289EC"/>
    <w:multiLevelType w:val="hybridMultilevel"/>
    <w:lvl w:ilvl="0">
      <w:lvlJc w:val="left"/>
      <w:lvlText w:val="(%1)"/>
      <w:numFmt w:val="lowerRoman"/>
      <w:start w:val="5"/>
    </w:lvl>
  </w:abstractNum>
  <w:abstractNum w:abstractNumId="31">
    <w:nsid w:val="6DE91B18"/>
    <w:multiLevelType w:val="hybridMultilevel"/>
    <w:lvl w:ilvl="0">
      <w:lvlJc w:val="left"/>
      <w:lvlText w:val="(%1)"/>
      <w:numFmt w:val="lowerRoman"/>
      <w:start w:val="11"/>
    </w:lvl>
  </w:abstractNum>
  <w:abstractNum w:abstractNumId="32">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abstractNum>
  <w:abstractNum w:abstractNumId="33">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6"/>
    </w:lvl>
  </w:abstractNum>
  <w:abstractNum w:abstractNumId="34">
    <w:nsid w:val="32FFF902"/>
    <w:multiLevelType w:val="hybridMultilevel"/>
    <w:lvl w:ilvl="0">
      <w:lvlJc w:val="left"/>
      <w:lvlText w:val="%1"/>
      <w:numFmt w:val="lowerLetter"/>
      <w:start w:val="1"/>
    </w:lvl>
    <w:lvl w:ilvl="1">
      <w:lvlJc w:val="left"/>
      <w:lvlText w:val="%2."/>
      <w:numFmt w:val="decimal"/>
      <w:start w:val="6"/>
    </w:lvl>
  </w:abstractNum>
  <w:abstractNum w:abstractNumId="35">
    <w:nsid w:val="684A481A"/>
    <w:multiLevelType w:val="hybridMultilevel"/>
    <w:lvl w:ilvl="0">
      <w:lvlJc w:val="left"/>
      <w:lvlText w:val="(%1)"/>
      <w:numFmt w:val="lowerLetter"/>
      <w:start w:val="7"/>
    </w:lvl>
    <w:lvl w:ilvl="1">
      <w:lvlJc w:val="left"/>
      <w:lvlText w:val="%2"/>
      <w:numFmt w:val="decimal"/>
      <w:start w:val="1"/>
    </w:lvl>
  </w:abstractNum>
  <w:abstractNum w:abstractNumId="36">
    <w:nsid w:val="579478FE"/>
    <w:multiLevelType w:val="hybridMultilevel"/>
    <w:lvl w:ilvl="0">
      <w:lvlJc w:val="left"/>
      <w:lvlText w:val="%1."/>
      <w:numFmt w:val="decimal"/>
      <w:start w:val="7"/>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4"/>
    </w:lvl>
  </w:abstractNum>
  <w:abstractNum w:abstractNumId="39">
    <w:nsid w:val="1BA026FA"/>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2"/>
    </w:lvl>
  </w:abstractNum>
  <w:abstractNum w:abstractNumId="40">
    <w:nsid w:val="79A1DEAA"/>
    <w:multiLevelType w:val="hybridMultilevel"/>
    <w:lvl w:ilvl="0">
      <w:lvlJc w:val="left"/>
      <w:lvlText w:val="(%1)"/>
      <w:numFmt w:val="lowerLetter"/>
      <w:start w:val="12"/>
    </w:lvl>
  </w:abstractNum>
  <w:abstractNum w:abstractNumId="41">
    <w:nsid w:val="75C6C33A"/>
    <w:multiLevelType w:val="hybridMultilevel"/>
    <w:lvl w:ilvl="0">
      <w:lvlJc w:val="left"/>
      <w:lvlText w:val="(%1)"/>
      <w:numFmt w:val="lowerLetter"/>
      <w:start w:val="16"/>
    </w:lvl>
  </w:abstractNum>
  <w:abstractNum w:abstractNumId="42">
    <w:nsid w:val="12E685FB"/>
    <w:multiLevelType w:val="hybridMultilevel"/>
    <w:lvl w:ilvl="0">
      <w:lvlJc w:val="left"/>
      <w:lvlText w:val="%1."/>
      <w:numFmt w:val="decimal"/>
      <w:start w:val="8"/>
    </w:lvl>
  </w:abstractNum>
  <w:abstractNum w:abstractNumId="43">
    <w:nsid w:val="70C6A529"/>
    <w:multiLevelType w:val="hybridMultilevel"/>
    <w:lvl w:ilvl="0">
      <w:lvlJc w:val="left"/>
      <w:lvlText w:val="%1"/>
      <w:numFmt w:val="upperLetter"/>
      <w:start w:val="1"/>
    </w:lvl>
    <w:lvl w:ilvl="1">
      <w:lvlJc w:val="left"/>
      <w:lvlText w:val="(%2)"/>
      <w:numFmt w:val="lowerLetter"/>
      <w:start w:val="1"/>
    </w:lvl>
  </w:abstractNum>
  <w:abstractNum w:abstractNumId="44">
    <w:nsid w:val="520EEDD1"/>
    <w:multiLevelType w:val="hybridMultilevel"/>
    <w:lvl w:ilvl="0">
      <w:lvlJc w:val="left"/>
      <w:lvlText w:val="(%1)"/>
      <w:numFmt w:val="upperLetter"/>
      <w:start w:val="4"/>
    </w:lvl>
    <w:lvl w:ilvl="1">
      <w:lvlJc w:val="left"/>
      <w:lvlText w:val="%2"/>
      <w:numFmt w:val="lowerLetter"/>
      <w:start w:val="1"/>
    </w:lvl>
  </w:abstractNum>
  <w:abstractNum w:abstractNumId="45">
    <w:nsid w:val="374A3FE6"/>
    <w:multiLevelType w:val="hybridMultilevel"/>
    <w:lvl w:ilvl="0">
      <w:lvlJc w:val="left"/>
      <w:lvlText w:val="(%1)"/>
      <w:numFmt w:val="lowerLetter"/>
      <w:start w:val="2"/>
    </w:lvl>
  </w:abstractNum>
  <w:abstractNum w:abstractNumId="46">
    <w:nsid w:val="4F4EF005"/>
    <w:multiLevelType w:val="hybridMultilevel"/>
    <w:lvl w:ilvl="0">
      <w:lvlJc w:val="left"/>
      <w:lvlText w:val="%1"/>
      <w:numFmt w:val="lowerLetter"/>
      <w:start w:val="1"/>
    </w:lvl>
    <w:lvl w:ilvl="1">
      <w:lvlJc w:val="left"/>
      <w:lvlText w:val="(%2)"/>
      <w:numFmt w:val="lowerLetter"/>
      <w:start w:val="4"/>
    </w:lvl>
  </w:abstractNum>
  <w:abstractNum w:abstractNumId="47">
    <w:nsid w:val="23F9C13C"/>
    <w:multiLevelType w:val="hybridMultilevel"/>
    <w:lvl w:ilvl="0">
      <w:lvlJc w:val="left"/>
      <w:lvlText w:val="(%1)"/>
      <w:numFmt w:val="lowerLetter"/>
      <w:start w:val="61"/>
    </w:lvl>
    <w:lvl w:ilvl="1">
      <w:lvlJc w:val="left"/>
      <w:lvlText w:val="%2"/>
      <w:numFmt w:val="lowerLetter"/>
      <w:start w:val="1"/>
    </w:lvl>
  </w:abstractNum>
  <w:abstractNum w:abstractNumId="48">
    <w:nsid w:val="649BB77C"/>
    <w:multiLevelType w:val="hybridMultilevel"/>
    <w:lvl w:ilvl="0">
      <w:lvlJc w:val="left"/>
      <w:lvlText w:val="(%1)"/>
      <w:numFmt w:val="lowerLetter"/>
      <w:start w:val="5"/>
    </w:lvl>
  </w:abstractNum>
  <w:abstractNum w:abstractNumId="49">
    <w:nsid w:val="275AC794"/>
    <w:multiLevelType w:val="hybridMultilevel"/>
    <w:lvl w:ilvl="0">
      <w:lvlJc w:val="left"/>
      <w:lvlText w:val="(%1)"/>
      <w:numFmt w:val="lowerLetter"/>
      <w:start w:val="6"/>
    </w:lvl>
  </w:abstractNum>
  <w:abstractNum w:abstractNumId="50">
    <w:nsid w:val="39386575"/>
    <w:multiLevelType w:val="hybridMultilevel"/>
    <w:lvl w:ilvl="0">
      <w:lvlJc w:val="left"/>
      <w:lvlText w:val="%1."/>
      <w:numFmt w:val="decimal"/>
      <w:start w:val="9"/>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2"/>
    </w:lvl>
  </w:abstractNum>
  <w:abstractNum w:abstractNumId="53">
    <w:nsid w:val="235BA861"/>
    <w:multiLevelType w:val="hybridMultilevel"/>
    <w:lvl w:ilvl="0">
      <w:lvlJc w:val="left"/>
      <w:lvlText w:val="%1."/>
      <w:numFmt w:val="decimal"/>
      <w:start w:val="10"/>
    </w:lvl>
  </w:abstractNum>
  <w:abstractNum w:abstractNumId="54">
    <w:nsid w:val="47398C89"/>
    <w:multiLevelType w:val="hybridMultilevel"/>
    <w:lvl w:ilvl="0">
      <w:lvlJc w:val="left"/>
      <w:lvlText w:val="%1."/>
      <w:numFmt w:val="decimal"/>
      <w:start w:val="12"/>
    </w:lvl>
    <w:lvl w:ilvl="1">
      <w:lvlJc w:val="left"/>
      <w:lvlText w:val="(%2)"/>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decimal"/>
      <w:start w:val="15"/>
    </w:lvl>
  </w:abstractNum>
  <w:abstractNum w:abstractNumId="57">
    <w:nsid w:val="741226BB"/>
    <w:multiLevelType w:val="hybridMultilevel"/>
    <w:lvl w:ilvl="0">
      <w:lvlJc w:val="left"/>
      <w:lvlText w:val="%1"/>
      <w:numFmt w:val="lowerLetter"/>
      <w:start w:val="1"/>
    </w:lvl>
    <w:lvl w:ilvl="1">
      <w:lvlJc w:val="left"/>
      <w:lvlText w:val="%2."/>
      <w:numFmt w:val="decimal"/>
      <w:start w:val="20"/>
    </w:lvl>
  </w:abstractNum>
  <w:abstractNum w:abstractNumId="58">
    <w:nsid w:val="D34B6A8"/>
    <w:multiLevelType w:val="hybridMultilevel"/>
    <w:lvl w:ilvl="0">
      <w:lvlJc w:val="left"/>
      <w:lvlText w:val="(%1)"/>
      <w:numFmt w:val="lowerLetter"/>
      <w:start w:val="1"/>
    </w:lvl>
    <w:lvl w:ilvl="1">
      <w:lvlJc w:val="left"/>
      <w:lvlText w:val="%2"/>
      <w:numFmt w:val="decimal"/>
      <w:start w:val="1"/>
    </w:lvl>
  </w:abstractNum>
  <w:abstractNum w:abstractNumId="59">
    <w:nsid w:val="10233C99"/>
    <w:multiLevelType w:val="hybridMultilevel"/>
    <w:lvl w:ilvl="0">
      <w:lvlJc w:val="left"/>
      <w:lvlText w:val="%1."/>
      <w:numFmt w:val="decimal"/>
      <w:start w:val="23"/>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2024-09-13T15:14:35Z</dcterms:created>
  <dcterms:modified xsi:type="dcterms:W3CDTF">2024-09-13T15:14:35Z</dcterms:modified>
</cp:coreProperties>
</file>