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8-A/A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Viper Energy,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jc w:val="center"/>
              <w:ind w:right="110"/>
              <w:spacing w:after="0"/>
              <w:rPr>
                <w:sz w:val="20"/>
                <w:szCs w:val="20"/>
                <w:color w:val="auto"/>
              </w:rPr>
            </w:pPr>
            <w:r>
              <w:rPr>
                <w:rFonts w:ascii="Arial" w:cs="Arial" w:eastAsia="Arial" w:hAnsi="Arial"/>
                <w:sz w:val="18"/>
                <w:szCs w:val="18"/>
                <w:color w:val="auto"/>
                <w:w w:val="95"/>
              </w:rPr>
              <w:t>DE</w:t>
            </w:r>
          </w:p>
        </w:tc>
        <w:tc>
          <w:tcPr>
            <w:tcW w:w="5400" w:type="dxa"/>
            <w:vAlign w:val="bottom"/>
          </w:tcPr>
          <w:p>
            <w:pPr>
              <w:jc w:val="right"/>
              <w:ind w:right="2290"/>
              <w:spacing w:after="0"/>
              <w:rPr>
                <w:sz w:val="20"/>
                <w:szCs w:val="20"/>
                <w:color w:val="auto"/>
              </w:rPr>
            </w:pPr>
            <w:r>
              <w:rPr>
                <w:rFonts w:ascii="Arial" w:cs="Arial" w:eastAsia="Arial" w:hAnsi="Arial"/>
                <w:sz w:val="18"/>
                <w:szCs w:val="18"/>
                <w:color w:val="auto"/>
              </w:rPr>
              <w:t>46-5001985</w:t>
            </w:r>
          </w:p>
        </w:tc>
      </w:tr>
      <w:tr>
        <w:trPr>
          <w:trHeight w:val="230"/>
        </w:trPr>
        <w:tc>
          <w:tcPr>
            <w:tcW w:w="5840" w:type="dxa"/>
            <w:vAlign w:val="bottom"/>
          </w:tcPr>
          <w:p>
            <w:pPr>
              <w:jc w:val="center"/>
              <w:ind w:right="130"/>
              <w:spacing w:after="0"/>
              <w:rPr>
                <w:sz w:val="20"/>
                <w:szCs w:val="20"/>
                <w:color w:val="auto"/>
              </w:rPr>
            </w:pPr>
            <w:r>
              <w:rPr>
                <w:rFonts w:ascii="Arial" w:cs="Arial" w:eastAsia="Arial" w:hAnsi="Arial"/>
                <w:sz w:val="18"/>
                <w:szCs w:val="18"/>
                <w:color w:val="auto"/>
                <w:w w:val="92"/>
              </w:rPr>
              <w:t>(State of Incorporation)</w:t>
            </w:r>
          </w:p>
        </w:tc>
        <w:tc>
          <w:tcPr>
            <w:tcW w:w="5400" w:type="dxa"/>
            <w:vAlign w:val="bottom"/>
          </w:tcPr>
          <w:p>
            <w:pPr>
              <w:jc w:val="center"/>
              <w:ind w:right="1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840" w:type="dxa"/>
            <w:vAlign w:val="bottom"/>
          </w:tcPr>
          <w:p>
            <w:pPr>
              <w:jc w:val="center"/>
              <w:ind w:right="130"/>
              <w:spacing w:after="0"/>
              <w:rPr>
                <w:sz w:val="20"/>
                <w:szCs w:val="20"/>
                <w:color w:val="auto"/>
              </w:rPr>
            </w:pPr>
            <w:r>
              <w:rPr>
                <w:rFonts w:ascii="Arial" w:cs="Arial" w:eastAsia="Arial" w:hAnsi="Arial"/>
                <w:sz w:val="18"/>
                <w:szCs w:val="18"/>
                <w:color w:val="auto"/>
                <w:w w:val="87"/>
              </w:rPr>
              <w:t>500 West Texas, Suite 100</w:t>
            </w:r>
          </w:p>
        </w:tc>
        <w:tc>
          <w:tcPr>
            <w:tcW w:w="5400" w:type="dxa"/>
            <w:vAlign w:val="bottom"/>
          </w:tcPr>
          <w:p>
            <w:pPr>
              <w:spacing w:after="0"/>
              <w:rPr>
                <w:sz w:val="24"/>
                <w:szCs w:val="24"/>
                <w:color w:val="auto"/>
              </w:rPr>
            </w:pPr>
          </w:p>
        </w:tc>
      </w:tr>
      <w:tr>
        <w:trPr>
          <w:trHeight w:val="216"/>
        </w:trPr>
        <w:tc>
          <w:tcPr>
            <w:tcW w:w="5840" w:type="dxa"/>
            <w:vAlign w:val="bottom"/>
          </w:tcPr>
          <w:p>
            <w:pPr>
              <w:jc w:val="center"/>
              <w:ind w:right="110"/>
              <w:spacing w:after="0"/>
              <w:rPr>
                <w:sz w:val="20"/>
                <w:szCs w:val="20"/>
                <w:color w:val="auto"/>
              </w:rPr>
            </w:pPr>
            <w:r>
              <w:rPr>
                <w:rFonts w:ascii="Arial" w:cs="Arial" w:eastAsia="Arial" w:hAnsi="Arial"/>
                <w:sz w:val="18"/>
                <w:szCs w:val="18"/>
                <w:color w:val="auto"/>
                <w:w w:val="91"/>
              </w:rPr>
              <w:t>Midland, Texas</w:t>
            </w:r>
          </w:p>
        </w:tc>
        <w:tc>
          <w:tcPr>
            <w:tcW w:w="5400" w:type="dxa"/>
            <w:vAlign w:val="bottom"/>
          </w:tcPr>
          <w:p>
            <w:pPr>
              <w:jc w:val="right"/>
              <w:ind w:right="2490"/>
              <w:spacing w:after="0"/>
              <w:rPr>
                <w:sz w:val="20"/>
                <w:szCs w:val="20"/>
                <w:color w:val="auto"/>
              </w:rPr>
            </w:pPr>
            <w:r>
              <w:rPr>
                <w:rFonts w:ascii="Arial" w:cs="Arial" w:eastAsia="Arial" w:hAnsi="Arial"/>
                <w:sz w:val="18"/>
                <w:szCs w:val="18"/>
                <w:color w:val="auto"/>
              </w:rPr>
              <w:t>79701</w:t>
            </w:r>
          </w:p>
        </w:tc>
      </w:tr>
      <w:tr>
        <w:trPr>
          <w:trHeight w:val="230"/>
        </w:trPr>
        <w:tc>
          <w:tcPr>
            <w:tcW w:w="58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5400" w:type="dxa"/>
            <w:vAlign w:val="bottom"/>
          </w:tcPr>
          <w:p>
            <w:pPr>
              <w:jc w:val="center"/>
              <w:ind w:right="130"/>
              <w:spacing w:after="0"/>
              <w:rPr>
                <w:sz w:val="20"/>
                <w:szCs w:val="20"/>
                <w:color w:val="auto"/>
              </w:rPr>
            </w:pPr>
            <w:r>
              <w:rPr>
                <w:rFonts w:ascii="Arial" w:cs="Arial" w:eastAsia="Arial" w:hAnsi="Arial"/>
                <w:sz w:val="18"/>
                <w:szCs w:val="18"/>
                <w:color w:val="auto"/>
                <w:w w:val="91"/>
              </w:rPr>
              <w:t>(Zip Code)</w:t>
            </w:r>
          </w:p>
        </w:tc>
      </w:tr>
      <w:tr>
        <w:trPr>
          <w:trHeight w:val="432"/>
        </w:trPr>
        <w:tc>
          <w:tcPr>
            <w:tcW w:w="11240" w:type="dxa"/>
            <w:vAlign w:val="bottom"/>
            <w:gridSpan w:val="2"/>
          </w:tcPr>
          <w:p>
            <w:pPr>
              <w:ind w:left="3360"/>
              <w:spacing w:after="0"/>
              <w:rPr>
                <w:sz w:val="20"/>
                <w:szCs w:val="20"/>
                <w:color w:val="auto"/>
              </w:rPr>
            </w:pPr>
            <w:r>
              <w:rPr>
                <w:rFonts w:ascii="Arial" w:cs="Arial" w:eastAsia="Arial" w:hAnsi="Arial"/>
                <w:sz w:val="18"/>
                <w:szCs w:val="18"/>
                <w:color w:val="auto"/>
              </w:rPr>
              <w:t>Securities to be registered pursuant to Section 12(b) of the Act:</w:t>
            </w:r>
          </w:p>
        </w:tc>
      </w:tr>
      <w:tr>
        <w:trPr>
          <w:trHeight w:val="418"/>
        </w:trPr>
        <w:tc>
          <w:tcPr>
            <w:tcW w:w="5840" w:type="dxa"/>
            <w:vAlign w:val="bottom"/>
          </w:tcPr>
          <w:p>
            <w:pPr>
              <w:jc w:val="center"/>
              <w:ind w:right="130"/>
              <w:spacing w:after="0"/>
              <w:rPr>
                <w:sz w:val="20"/>
                <w:szCs w:val="20"/>
                <w:color w:val="auto"/>
              </w:rPr>
            </w:pPr>
            <w:r>
              <w:rPr>
                <w:rFonts w:ascii="Arial" w:cs="Arial" w:eastAsia="Arial" w:hAnsi="Arial"/>
                <w:sz w:val="18"/>
                <w:szCs w:val="18"/>
                <w:color w:val="auto"/>
                <w:w w:val="90"/>
              </w:rPr>
              <w:t>Title of each class</w:t>
            </w:r>
          </w:p>
        </w:tc>
        <w:tc>
          <w:tcPr>
            <w:tcW w:w="5400" w:type="dxa"/>
            <w:vAlign w:val="bottom"/>
          </w:tcPr>
          <w:p>
            <w:pPr>
              <w:jc w:val="center"/>
              <w:ind w:right="130"/>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5840" w:type="dxa"/>
            <w:vAlign w:val="bottom"/>
          </w:tcPr>
          <w:p>
            <w:pPr>
              <w:jc w:val="center"/>
              <w:ind w:right="110"/>
              <w:spacing w:after="0"/>
              <w:rPr>
                <w:sz w:val="20"/>
                <w:szCs w:val="20"/>
                <w:color w:val="auto"/>
              </w:rPr>
            </w:pPr>
            <w:r>
              <w:rPr>
                <w:rFonts w:ascii="Arial" w:cs="Arial" w:eastAsia="Arial" w:hAnsi="Arial"/>
                <w:sz w:val="18"/>
                <w:szCs w:val="18"/>
                <w:color w:val="auto"/>
                <w:w w:val="88"/>
              </w:rPr>
              <w:t>to be so registered</w:t>
            </w:r>
          </w:p>
        </w:tc>
        <w:tc>
          <w:tcPr>
            <w:tcW w:w="5400" w:type="dxa"/>
            <w:vAlign w:val="bottom"/>
          </w:tcPr>
          <w:p>
            <w:pPr>
              <w:jc w:val="center"/>
              <w:ind w:right="110"/>
              <w:spacing w:after="0"/>
              <w:rPr>
                <w:sz w:val="20"/>
                <w:szCs w:val="20"/>
                <w:color w:val="auto"/>
              </w:rPr>
            </w:pPr>
            <w:r>
              <w:rPr>
                <w:rFonts w:ascii="Arial" w:cs="Arial" w:eastAsia="Arial" w:hAnsi="Arial"/>
                <w:sz w:val="18"/>
                <w:szCs w:val="18"/>
                <w:color w:val="auto"/>
                <w:w w:val="87"/>
              </w:rPr>
              <w:t>each class is to be registered</w:t>
            </w:r>
          </w:p>
        </w:tc>
      </w:tr>
      <w:tr>
        <w:trPr>
          <w:trHeight w:val="216"/>
        </w:trPr>
        <w:tc>
          <w:tcPr>
            <w:tcW w:w="584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r>
      <w:tr>
        <w:trPr>
          <w:trHeight w:val="195"/>
        </w:trPr>
        <w:tc>
          <w:tcPr>
            <w:tcW w:w="584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89"/>
              </w:rPr>
              <w:t>Class A Common Stock, $0.000001 Par Value</w:t>
            </w:r>
          </w:p>
        </w:tc>
        <w:tc>
          <w:tcPr>
            <w:tcW w:w="5400" w:type="dxa"/>
            <w:vAlign w:val="bottom"/>
          </w:tcPr>
          <w:p>
            <w:pPr>
              <w:ind w:left="1440"/>
              <w:spacing w:after="0" w:line="195" w:lineRule="exact"/>
              <w:rPr>
                <w:sz w:val="20"/>
                <w:szCs w:val="20"/>
                <w:color w:val="auto"/>
              </w:rPr>
            </w:pPr>
            <w:r>
              <w:rPr>
                <w:rFonts w:ascii="Arial" w:cs="Arial" w:eastAsia="Arial" w:hAnsi="Arial"/>
                <w:sz w:val="18"/>
                <w:szCs w:val="18"/>
                <w:color w:val="auto"/>
              </w:rPr>
              <w:t>The Nasdaq Stock Market LLC</w:t>
            </w:r>
          </w:p>
        </w:tc>
      </w:tr>
      <w:tr>
        <w:trPr>
          <w:trHeight w:val="230"/>
        </w:trPr>
        <w:tc>
          <w:tcPr>
            <w:tcW w:w="5840" w:type="dxa"/>
            <w:vAlign w:val="bottom"/>
          </w:tcPr>
          <w:p>
            <w:pPr>
              <w:spacing w:after="0"/>
              <w:rPr>
                <w:sz w:val="20"/>
                <w:szCs w:val="20"/>
                <w:color w:val="auto"/>
              </w:rPr>
            </w:pPr>
          </w:p>
        </w:tc>
        <w:tc>
          <w:tcPr>
            <w:tcW w:w="5400" w:type="dxa"/>
            <w:vAlign w:val="bottom"/>
          </w:tcPr>
          <w:p>
            <w:pPr>
              <w:jc w:val="center"/>
              <w:ind w:right="130"/>
              <w:spacing w:after="0"/>
              <w:rPr>
                <w:sz w:val="20"/>
                <w:szCs w:val="20"/>
                <w:color w:val="auto"/>
              </w:rPr>
            </w:pPr>
            <w:r>
              <w:rPr>
                <w:rFonts w:ascii="Arial" w:cs="Arial" w:eastAsia="Arial" w:hAnsi="Arial"/>
                <w:sz w:val="18"/>
                <w:szCs w:val="18"/>
                <w:color w:val="auto"/>
                <w:w w:val="94"/>
              </w:rPr>
              <w:t>(NASDAQ Global Select Market)</w:t>
            </w:r>
          </w:p>
        </w:tc>
      </w:tr>
    </w:tbl>
    <w:p>
      <w:pPr>
        <w:spacing w:after="0" w:line="202"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or Regulation A offering statement file number to which this form relates: 333-195769 and 333-198129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Amendment No. 1 (this “Amendment”) to Form 8-A (the “Registration Statement”) is being filed pursuant to Section 12(b) under the Securities Exchange Act of 1934, as amended (the “Exchange Act”), by Viper Energy, Inc., a Delaware corporation (“Viper Corp.”), as the successor registrant to Viper Energy Partners LP, a Delaware limited partnership (“Viper LP”). Effective November 13, 2023, Viper LP converted from a Delaware limited partnership to a Delaware corporation pursuant to the Plan of Conversion, which is incorporated by reference as Exhibit 2.1 to this Current Report on Form 8-K (the “Conversion”). In accordance with Rule 12g-3 under the Exchange Act, upon the effective time of the Conversion, the Class A common stock, par value $0.000001 per share (the “Class A Common Stock”), of Viper Corp., was deemed to be registered under Section 12(b) of the Exchange Act as Viper Corp. is deemed to be the successor registrant to Viper LP. Viper Corp. expressly adopts the Registration Statement, as modified by this Amendment, as its own registration statement for all purposes of the Exchange Act. The Class A Common Stock will continue to trade on the The Nasdaq Stock Market LLC (NASDAQ Global Select Market) under the ticker symbol “VNOM.”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amends the Registration Statement as follows: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A description of the Class A Common Stock is contained in the “Description of the Registrant’s Securities Registered Pursuant to Section 12 of the Securities Exchange Act of 1934” set forth in </w:t>
      </w:r>
      <w:hyperlink r:id="rId14">
        <w:r>
          <w:rPr>
            <w:rFonts w:ascii="Arial" w:cs="Arial" w:eastAsia="Arial" w:hAnsi="Arial"/>
            <w:sz w:val="18"/>
            <w:szCs w:val="18"/>
            <w:u w:val="single" w:color="auto"/>
            <w:color w:val="0000EE"/>
          </w:rPr>
          <w:t>Exhibit 99.1 to Viper Corp.’s Current Report on Form 8-K filed on November 13, 2023</w:t>
        </w:r>
      </w:hyperlink>
      <w:r>
        <w:rPr>
          <w:rFonts w:ascii="Arial" w:cs="Arial" w:eastAsia="Arial" w:hAnsi="Arial"/>
          <w:sz w:val="18"/>
          <w:szCs w:val="18"/>
          <w:color w:val="auto"/>
        </w:rPr>
        <w:t>, which is incorporated herein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260" w:type="dxa"/>
            <w:vAlign w:val="bottom"/>
            <w:gridSpan w:val="5"/>
          </w:tcPr>
          <w:p>
            <w:pPr>
              <w:spacing w:after="0"/>
              <w:rPr>
                <w:sz w:val="20"/>
                <w:szCs w:val="20"/>
                <w:color w:val="auto"/>
              </w:rPr>
            </w:pPr>
            <w:r>
              <w:rPr>
                <w:rFonts w:ascii="Arial" w:cs="Arial" w:eastAsia="Arial" w:hAnsi="Arial"/>
                <w:sz w:val="18"/>
                <w:szCs w:val="18"/>
                <w:b w:val="1"/>
                <w:bCs w:val="1"/>
                <w:color w:val="auto"/>
              </w:rPr>
              <w:t>Exhibits</w:t>
            </w:r>
          </w:p>
        </w:tc>
      </w:tr>
      <w:tr>
        <w:trPr>
          <w:trHeight w:val="391"/>
        </w:trPr>
        <w:tc>
          <w:tcPr>
            <w:tcW w:w="980" w:type="dxa"/>
            <w:vAlign w:val="bottom"/>
            <w:gridSpan w:val="2"/>
          </w:tcPr>
          <w:p>
            <w:pPr>
              <w:spacing w:after="0"/>
              <w:rPr>
                <w:rFonts w:ascii="Arial" w:cs="Arial" w:eastAsia="Arial" w:hAnsi="Arial"/>
                <w:sz w:val="18"/>
                <w:szCs w:val="18"/>
                <w:color w:val="0000EE"/>
              </w:rPr>
            </w:pPr>
            <w:hyperlink r:id="rId15">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0260" w:type="dxa"/>
            <w:vAlign w:val="bottom"/>
            <w:gridSpan w:val="5"/>
          </w:tcPr>
          <w:p>
            <w:pPr>
              <w:spacing w:after="0"/>
              <w:rPr>
                <w:rFonts w:ascii="Arial" w:cs="Arial" w:eastAsia="Arial" w:hAnsi="Arial"/>
                <w:sz w:val="18"/>
                <w:szCs w:val="18"/>
                <w:color w:val="0000EE"/>
              </w:rPr>
            </w:pPr>
            <w:hyperlink r:id="rId15">
              <w:r>
                <w:rPr>
                  <w:rFonts w:ascii="Arial" w:cs="Arial" w:eastAsia="Arial" w:hAnsi="Arial"/>
                  <w:sz w:val="18"/>
                  <w:szCs w:val="18"/>
                  <w:color w:val="0000EE"/>
                </w:rPr>
                <w:t>Plan of Conversion (incorporated by reference to Exhibit 99.1 to Viper Energy Partners LP’s Current Report on Form 8-K filed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5">
              <w:r>
                <w:rPr>
                  <w:rFonts w:ascii="Arial" w:cs="Arial" w:eastAsia="Arial" w:hAnsi="Arial"/>
                  <w:sz w:val="18"/>
                  <w:szCs w:val="18"/>
                  <w:color w:val="0000EE"/>
                  <w:w w:val="90"/>
                </w:rPr>
                <w:t>November 2, 2023).</w:t>
              </w:r>
            </w:hyperlink>
          </w:p>
        </w:tc>
        <w:tc>
          <w:tcPr>
            <w:tcW w:w="8800" w:type="dxa"/>
            <w:vAlign w:val="bottom"/>
            <w:tcBorders>
              <w:top w:val="single" w:sz="8" w:color="0000EE"/>
            </w:tcBorders>
            <w:gridSpan w:val="3"/>
          </w:tcPr>
          <w:p>
            <w:pPr>
              <w:spacing w:after="0"/>
              <w:rPr>
                <w:sz w:val="17"/>
                <w:szCs w:val="17"/>
                <w:color w:val="auto"/>
              </w:rPr>
            </w:pPr>
          </w:p>
        </w:tc>
      </w:tr>
      <w:tr>
        <w:trPr>
          <w:trHeight w:val="412"/>
        </w:trPr>
        <w:tc>
          <w:tcPr>
            <w:tcW w:w="980" w:type="dxa"/>
            <w:vAlign w:val="bottom"/>
            <w:gridSpan w:val="2"/>
          </w:tcPr>
          <w:p>
            <w:pPr>
              <w:spacing w:after="0"/>
              <w:rPr>
                <w:rFonts w:ascii="Arial" w:cs="Arial" w:eastAsia="Arial" w:hAnsi="Arial"/>
                <w:sz w:val="18"/>
                <w:szCs w:val="18"/>
                <w:color w:val="0000EE"/>
              </w:rPr>
            </w:pPr>
            <w:hyperlink r:id="rId1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260" w:type="dxa"/>
            <w:vAlign w:val="bottom"/>
            <w:gridSpan w:val="5"/>
          </w:tcPr>
          <w:p>
            <w:pPr>
              <w:spacing w:after="0"/>
              <w:rPr>
                <w:rFonts w:ascii="Arial" w:cs="Arial" w:eastAsia="Arial" w:hAnsi="Arial"/>
                <w:sz w:val="18"/>
                <w:szCs w:val="18"/>
                <w:color w:val="0000EE"/>
                <w:w w:val="95"/>
              </w:rPr>
            </w:pPr>
            <w:hyperlink r:id="rId16">
              <w:r>
                <w:rPr>
                  <w:rFonts w:ascii="Arial" w:cs="Arial" w:eastAsia="Arial" w:hAnsi="Arial"/>
                  <w:sz w:val="18"/>
                  <w:szCs w:val="18"/>
                  <w:color w:val="0000EE"/>
                  <w:w w:val="95"/>
                </w:rPr>
                <w:t>Certificate of Conversion of Viper Energy Partners LP (incorporated by reference to Exhibit 99.2 to Viper Energy Partners LP’s Current</w:t>
              </w:r>
            </w:hyperlink>
          </w:p>
        </w:tc>
      </w:tr>
      <w:tr>
        <w:trPr>
          <w:trHeight w:val="196"/>
        </w:trPr>
        <w:tc>
          <w:tcPr>
            <w:tcW w:w="24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Report on Form 8-K filed on November 2, 2023).</w:t>
              </w:r>
            </w:hyperlink>
          </w:p>
        </w:tc>
      </w:tr>
      <w:tr>
        <w:trPr>
          <w:trHeight w:val="20"/>
        </w:trPr>
        <w:tc>
          <w:tcPr>
            <w:tcW w:w="980" w:type="dxa"/>
            <w:vAlign w:val="bottom"/>
            <w:gridSpan w:val="2"/>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rFonts w:ascii="Arial" w:cs="Arial" w:eastAsia="Arial" w:hAnsi="Arial"/>
                <w:sz w:val="18"/>
                <w:szCs w:val="18"/>
                <w:color w:val="0000EE"/>
              </w:rPr>
            </w:pPr>
            <w:hyperlink r:id="rId17">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260" w:type="dxa"/>
            <w:vAlign w:val="bottom"/>
            <w:gridSpan w:val="5"/>
          </w:tcPr>
          <w:p>
            <w:pPr>
              <w:spacing w:after="0"/>
              <w:rPr>
                <w:rFonts w:ascii="Arial" w:cs="Arial" w:eastAsia="Arial" w:hAnsi="Arial"/>
                <w:sz w:val="18"/>
                <w:szCs w:val="18"/>
                <w:color w:val="0000EE"/>
                <w:w w:val="92"/>
              </w:rPr>
            </w:pPr>
            <w:hyperlink r:id="rId17">
              <w:r>
                <w:rPr>
                  <w:rFonts w:ascii="Arial" w:cs="Arial" w:eastAsia="Arial" w:hAnsi="Arial"/>
                  <w:sz w:val="18"/>
                  <w:szCs w:val="18"/>
                  <w:color w:val="0000EE"/>
                  <w:w w:val="92"/>
                </w:rPr>
                <w:t>Certificate of Incorporation of Viper Energy, Inc. (incorporated by reference to Exhibit 99.3 to Viper Energy Partners LP’s Current Report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Form 8-K filed on November 2, 2023).</w:t>
              </w:r>
            </w:hyperlink>
          </w:p>
        </w:tc>
      </w:tr>
      <w:tr>
        <w:trPr>
          <w:trHeight w:val="20"/>
        </w:trPr>
        <w:tc>
          <w:tcPr>
            <w:tcW w:w="980" w:type="dxa"/>
            <w:vAlign w:val="bottom"/>
            <w:gridSpan w:val="2"/>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r>
      <w:tr>
        <w:trPr>
          <w:trHeight w:val="412"/>
        </w:trPr>
        <w:tc>
          <w:tcPr>
            <w:tcW w:w="980" w:type="dxa"/>
            <w:vAlign w:val="bottom"/>
            <w:gridSpan w:val="2"/>
          </w:tcPr>
          <w:p>
            <w:pPr>
              <w:spacing w:after="0"/>
              <w:rPr>
                <w:rFonts w:ascii="Arial" w:cs="Arial" w:eastAsia="Arial" w:hAnsi="Arial"/>
                <w:sz w:val="18"/>
                <w:szCs w:val="18"/>
                <w:color w:val="0000EE"/>
              </w:rPr>
            </w:pPr>
            <w:hyperlink r:id="rId18">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10260" w:type="dxa"/>
            <w:vAlign w:val="bottom"/>
            <w:gridSpan w:val="5"/>
          </w:tcPr>
          <w:p>
            <w:pPr>
              <w:spacing w:after="0"/>
              <w:rPr>
                <w:rFonts w:ascii="Arial" w:cs="Arial" w:eastAsia="Arial" w:hAnsi="Arial"/>
                <w:sz w:val="18"/>
                <w:szCs w:val="18"/>
                <w:color w:val="0000EE"/>
                <w:w w:val="93"/>
              </w:rPr>
            </w:pPr>
            <w:hyperlink r:id="rId18">
              <w:r>
                <w:rPr>
                  <w:rFonts w:ascii="Arial" w:cs="Arial" w:eastAsia="Arial" w:hAnsi="Arial"/>
                  <w:sz w:val="18"/>
                  <w:szCs w:val="18"/>
                  <w:color w:val="0000EE"/>
                  <w:w w:val="93"/>
                </w:rPr>
                <w:t>Bylaws of Viper Energy, Inc. (incorporated by reference to Exhibit 99.4 to Viper Energy Partners LP’s Current Report on Form 8-K filed on</w:t>
              </w:r>
            </w:hyperlink>
          </w:p>
        </w:tc>
      </w:tr>
      <w:tr>
        <w:trPr>
          <w:trHeight w:val="196"/>
        </w:trPr>
        <w:tc>
          <w:tcPr>
            <w:tcW w:w="24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02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November 2, 2023).</w:t>
              </w:r>
            </w:hyperlink>
          </w:p>
        </w:tc>
      </w:tr>
      <w:tr>
        <w:trPr>
          <w:trHeight w:val="668"/>
        </w:trPr>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top w:val="single" w:sz="8" w:color="0000EE"/>
              <w:bottom w:val="single" w:sz="8" w:color="auto"/>
            </w:tcBorders>
          </w:tcPr>
          <w:p>
            <w:pPr>
              <w:spacing w:after="0"/>
              <w:rPr>
                <w:sz w:val="24"/>
                <w:szCs w:val="24"/>
                <w:color w:val="auto"/>
              </w:rPr>
            </w:pPr>
          </w:p>
        </w:tc>
        <w:tc>
          <w:tcPr>
            <w:tcW w:w="8820" w:type="dxa"/>
            <w:vAlign w:val="bottom"/>
            <w:tcBorders>
              <w:bottom w:val="single" w:sz="8" w:color="auto"/>
            </w:tcBorders>
            <w:gridSpan w:val="4"/>
          </w:tcPr>
          <w:p>
            <w:pPr>
              <w:jc w:val="right"/>
              <w:ind w:right="55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40" w:type="dxa"/>
            <w:vAlign w:val="bottom"/>
            <w:gridSpan w:val="2"/>
          </w:tcPr>
          <w:p>
            <w:pPr>
              <w:ind w:left="5620"/>
              <w:spacing w:after="0"/>
              <w:rPr>
                <w:sz w:val="20"/>
                <w:szCs w:val="20"/>
                <w:color w:val="auto"/>
              </w:rPr>
            </w:pPr>
            <w:r>
              <w:rPr>
                <w:rFonts w:ascii="Arial" w:cs="Arial" w:eastAsia="Arial" w:hAnsi="Arial"/>
                <w:sz w:val="18"/>
                <w:szCs w:val="18"/>
                <w:color w:val="auto"/>
              </w:rPr>
              <w:t>VIPER ENERGY, INC.</w:t>
            </w:r>
          </w:p>
        </w:tc>
      </w:tr>
      <w:tr>
        <w:trPr>
          <w:trHeight w:val="432"/>
        </w:trPr>
        <w:tc>
          <w:tcPr>
            <w:tcW w:w="6200" w:type="dxa"/>
            <w:vAlign w:val="bottom"/>
          </w:tcPr>
          <w:p>
            <w:pPr>
              <w:spacing w:after="0"/>
              <w:rPr>
                <w:sz w:val="20"/>
                <w:szCs w:val="20"/>
                <w:color w:val="auto"/>
              </w:rPr>
            </w:pPr>
            <w:r>
              <w:rPr>
                <w:rFonts w:ascii="Arial" w:cs="Arial" w:eastAsia="Arial" w:hAnsi="Arial"/>
                <w:sz w:val="18"/>
                <w:szCs w:val="18"/>
                <w:color w:val="auto"/>
              </w:rPr>
              <w:t>Date: November 13, 2023</w:t>
            </w:r>
          </w:p>
        </w:tc>
        <w:tc>
          <w:tcPr>
            <w:tcW w:w="504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Teresa L. Dick</w:t>
            </w:r>
          </w:p>
        </w:tc>
      </w:tr>
      <w:tr>
        <w:trPr>
          <w:trHeight w:val="195"/>
        </w:trPr>
        <w:tc>
          <w:tcPr>
            <w:tcW w:w="62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Teresa L. Dick</w:t>
            </w:r>
          </w:p>
        </w:tc>
      </w:t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 Executive Vice President and Assistant</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Secretary</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hyperlink" Target="https://www.sec.gov/Archives/edgar/data/1602065/000110465923116606/tm2330431d1_ex99-1.htm" TargetMode="External"/><Relationship Id="rId15" Type="http://schemas.openxmlformats.org/officeDocument/2006/relationships/hyperlink" Target="https://www.sec.gov/Archives/edgar/data/1602065/000160206523000080/viperex991-11x223.htm" TargetMode="External"/><Relationship Id="rId16" Type="http://schemas.openxmlformats.org/officeDocument/2006/relationships/hyperlink" Target="https://www.sec.gov/Archives/edgar/data/1602065/000160206523000080/viperex992-11x223.htm" TargetMode="External"/><Relationship Id="rId17" Type="http://schemas.openxmlformats.org/officeDocument/2006/relationships/hyperlink" Target="https://www.sec.gov/Archives/edgar/data/1602065/000160206523000080/viperex993-11x223.htm" TargetMode="External"/><Relationship Id="rId18" Type="http://schemas.openxmlformats.org/officeDocument/2006/relationships/hyperlink" Target="https://www.sec.gov/Archives/edgar/data/1602065/000160206523000080/viperex994-11x2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2023-11-13T05:58:35Z</dcterms:created>
  <dcterms:modified xsi:type="dcterms:W3CDTF">2023-11-13T05:58:35Z</dcterms:modified>
</cp:coreProperties>
</file>